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916" w:rsidRDefault="00086916" w:rsidP="006F19E1">
      <w:pPr>
        <w:rPr>
          <w:rFonts w:ascii="Arial" w:hAnsi="Arial" w:cs="Arial"/>
          <w:b/>
          <w:bCs/>
          <w:sz w:val="22"/>
          <w:szCs w:val="22"/>
        </w:rPr>
      </w:pPr>
      <w:bookmarkStart w:id="0" w:name="_GoBack"/>
      <w:bookmarkEnd w:id="0"/>
    </w:p>
    <w:p w:rsidR="00086916" w:rsidRPr="003040A8" w:rsidRDefault="00086916" w:rsidP="006F19E1">
      <w:pPr>
        <w:rPr>
          <w:rFonts w:ascii="Garamond" w:hAnsi="Garamond"/>
          <w:b/>
          <w:bCs/>
          <w:sz w:val="28"/>
          <w:szCs w:val="28"/>
        </w:rPr>
      </w:pPr>
      <w:r w:rsidRPr="00C9581F">
        <w:rPr>
          <w:rFonts w:ascii="Garamond" w:hAnsi="Garamond"/>
          <w:b/>
          <w:bCs/>
          <w:sz w:val="28"/>
          <w:szCs w:val="28"/>
        </w:rPr>
        <w:t xml:space="preserve">Вопрос </w:t>
      </w:r>
      <w:r>
        <w:rPr>
          <w:rFonts w:ascii="Garamond" w:hAnsi="Garamond"/>
          <w:b/>
          <w:bCs/>
          <w:sz w:val="28"/>
          <w:szCs w:val="28"/>
        </w:rPr>
        <w:t>4</w:t>
      </w:r>
      <w:r w:rsidRPr="00C9581F">
        <w:rPr>
          <w:rFonts w:ascii="Garamond" w:hAnsi="Garamond"/>
          <w:b/>
          <w:bCs/>
          <w:sz w:val="28"/>
          <w:szCs w:val="28"/>
        </w:rPr>
        <w:t xml:space="preserve">. </w:t>
      </w:r>
      <w:r w:rsidRPr="00230401">
        <w:rPr>
          <w:rFonts w:ascii="Garamond" w:hAnsi="Garamond"/>
          <w:b/>
          <w:bCs/>
          <w:sz w:val="28"/>
          <w:szCs w:val="28"/>
        </w:rPr>
        <w:t xml:space="preserve">Изменения, связанные с </w:t>
      </w:r>
      <w:r>
        <w:rPr>
          <w:rFonts w:ascii="Garamond" w:hAnsi="Garamond"/>
          <w:b/>
          <w:bCs/>
          <w:sz w:val="28"/>
          <w:szCs w:val="28"/>
        </w:rPr>
        <w:t>уточнением порядка расчета предварительных штрафов по ДПМ</w:t>
      </w:r>
    </w:p>
    <w:p w:rsidR="00086916" w:rsidRDefault="00086916" w:rsidP="006F19E1">
      <w:pPr>
        <w:jc w:val="right"/>
        <w:rPr>
          <w:rFonts w:ascii="Garamond" w:hAnsi="Garamond"/>
          <w:b/>
          <w:sz w:val="28"/>
          <w:szCs w:val="28"/>
        </w:rPr>
      </w:pPr>
    </w:p>
    <w:p w:rsidR="00086916" w:rsidRDefault="00086916" w:rsidP="006F19E1">
      <w:pPr>
        <w:jc w:val="right"/>
        <w:rPr>
          <w:rFonts w:ascii="Garamond" w:hAnsi="Garamond"/>
          <w:b/>
          <w:sz w:val="28"/>
          <w:szCs w:val="28"/>
        </w:rPr>
      </w:pPr>
      <w:r>
        <w:rPr>
          <w:rFonts w:ascii="Garamond" w:hAnsi="Garamond"/>
          <w:b/>
          <w:sz w:val="28"/>
          <w:szCs w:val="28"/>
        </w:rPr>
        <w:t>Приложение № 4</w:t>
      </w:r>
    </w:p>
    <w:p w:rsidR="00086916" w:rsidRPr="003040A8" w:rsidRDefault="00086916" w:rsidP="006F19E1">
      <w:pPr>
        <w:jc w:val="right"/>
        <w:rPr>
          <w:rFonts w:ascii="Garamond" w:hAnsi="Garamond"/>
          <w:b/>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86"/>
      </w:tblGrid>
      <w:tr w:rsidR="00086916" w:rsidRPr="008F68F1" w:rsidTr="006B1350">
        <w:tc>
          <w:tcPr>
            <w:tcW w:w="14786" w:type="dxa"/>
          </w:tcPr>
          <w:p w:rsidR="00086916" w:rsidRPr="008F68F1" w:rsidRDefault="00086916" w:rsidP="006B1350">
            <w:pPr>
              <w:jc w:val="both"/>
              <w:rPr>
                <w:rFonts w:ascii="Garamond" w:hAnsi="Garamond"/>
              </w:rPr>
            </w:pPr>
            <w:r w:rsidRPr="008F68F1">
              <w:rPr>
                <w:rFonts w:ascii="Garamond" w:hAnsi="Garamond"/>
                <w:b/>
              </w:rPr>
              <w:t>Инициатор:</w:t>
            </w:r>
            <w:r w:rsidRPr="008F68F1">
              <w:rPr>
                <w:rFonts w:ascii="Garamond" w:hAnsi="Garamond"/>
              </w:rPr>
              <w:t xml:space="preserve"> </w:t>
            </w:r>
            <w:r>
              <w:rPr>
                <w:rFonts w:ascii="Garamond" w:hAnsi="Garamond"/>
              </w:rPr>
              <w:t>ПАО «Квадра».</w:t>
            </w:r>
          </w:p>
          <w:p w:rsidR="00086916" w:rsidRPr="007857E4" w:rsidRDefault="00086916" w:rsidP="006B1350">
            <w:pPr>
              <w:autoSpaceDE w:val="0"/>
              <w:autoSpaceDN w:val="0"/>
              <w:adjustRightInd w:val="0"/>
              <w:jc w:val="both"/>
              <w:rPr>
                <w:rFonts w:ascii="Garamond" w:hAnsi="Garamond"/>
              </w:rPr>
            </w:pPr>
            <w:r w:rsidRPr="008F68F1">
              <w:rPr>
                <w:rFonts w:ascii="Garamond" w:hAnsi="Garamond"/>
                <w:b/>
              </w:rPr>
              <w:t>Обоснование:</w:t>
            </w:r>
            <w:r w:rsidRPr="008F68F1">
              <w:rPr>
                <w:rFonts w:ascii="Garamond" w:hAnsi="Garamond"/>
              </w:rPr>
              <w:t xml:space="preserve"> </w:t>
            </w:r>
            <w:r>
              <w:rPr>
                <w:rFonts w:ascii="Garamond" w:hAnsi="Garamond"/>
              </w:rPr>
              <w:t>п</w:t>
            </w:r>
            <w:r w:rsidRPr="00377EDA">
              <w:rPr>
                <w:rFonts w:ascii="Garamond" w:hAnsi="Garamond"/>
              </w:rPr>
              <w:t xml:space="preserve">редлагается </w:t>
            </w:r>
            <w:r w:rsidRPr="007857E4">
              <w:rPr>
                <w:rFonts w:ascii="Garamond" w:hAnsi="Garamond"/>
              </w:rPr>
              <w:t>уточнить порядок расчета предварительных штрафов по ДПМ в случае принятия Наблюдательным советом Ассоциации «НП Совет рынка» решения о непроведении расчета штрафов по ДПМ.</w:t>
            </w:r>
          </w:p>
          <w:p w:rsidR="00086916" w:rsidRPr="008F68F1" w:rsidRDefault="00086916" w:rsidP="001314B9">
            <w:pPr>
              <w:autoSpaceDE w:val="0"/>
              <w:autoSpaceDN w:val="0"/>
              <w:adjustRightInd w:val="0"/>
              <w:jc w:val="both"/>
              <w:rPr>
                <w:rFonts w:ascii="Garamond" w:hAnsi="Garamond"/>
              </w:rPr>
            </w:pPr>
            <w:r w:rsidRPr="007857E4">
              <w:rPr>
                <w:rFonts w:ascii="Garamond" w:hAnsi="Garamond"/>
                <w:b/>
              </w:rPr>
              <w:t>Дата вступления в силу</w:t>
            </w:r>
            <w:r w:rsidRPr="00EC1B85">
              <w:rPr>
                <w:rFonts w:ascii="Garamond" w:hAnsi="Garamond"/>
                <w:b/>
              </w:rPr>
              <w:t>:</w:t>
            </w:r>
            <w:r w:rsidRPr="00EC1B85">
              <w:rPr>
                <w:rFonts w:ascii="Garamond" w:hAnsi="Garamond"/>
                <w:b/>
                <w:bCs/>
              </w:rPr>
              <w:t xml:space="preserve"> </w:t>
            </w:r>
            <w:r>
              <w:rPr>
                <w:rFonts w:ascii="Garamond" w:hAnsi="Garamond"/>
              </w:rPr>
              <w:t>20</w:t>
            </w:r>
            <w:r w:rsidRPr="00C9581F">
              <w:rPr>
                <w:rFonts w:ascii="Garamond" w:hAnsi="Garamond"/>
              </w:rPr>
              <w:t xml:space="preserve"> </w:t>
            </w:r>
            <w:r>
              <w:rPr>
                <w:rFonts w:ascii="Garamond" w:hAnsi="Garamond"/>
              </w:rPr>
              <w:t>сентября</w:t>
            </w:r>
            <w:r w:rsidRPr="00C9581F">
              <w:rPr>
                <w:rFonts w:ascii="Garamond" w:hAnsi="Garamond"/>
              </w:rPr>
              <w:t xml:space="preserve"> 2018 года </w:t>
            </w:r>
            <w:r>
              <w:rPr>
                <w:rFonts w:ascii="Garamond" w:hAnsi="Garamond"/>
              </w:rPr>
              <w:t xml:space="preserve">и </w:t>
            </w:r>
            <w:r w:rsidRPr="00C9581F">
              <w:rPr>
                <w:rFonts w:ascii="Garamond" w:hAnsi="Garamond"/>
              </w:rPr>
              <w:t>распростран</w:t>
            </w:r>
            <w:r>
              <w:rPr>
                <w:rFonts w:ascii="Garamond" w:hAnsi="Garamond"/>
              </w:rPr>
              <w:t xml:space="preserve">яют свое </w:t>
            </w:r>
            <w:r w:rsidRPr="00C9581F">
              <w:rPr>
                <w:rFonts w:ascii="Garamond" w:hAnsi="Garamond"/>
              </w:rPr>
              <w:t>действи</w:t>
            </w:r>
            <w:r>
              <w:rPr>
                <w:rFonts w:ascii="Garamond" w:hAnsi="Garamond"/>
              </w:rPr>
              <w:t xml:space="preserve">е на отношения сторон по Договору о присоединении к торговой системе оптового рынка, возникшие </w:t>
            </w:r>
            <w:r w:rsidRPr="00C9581F">
              <w:rPr>
                <w:rFonts w:ascii="Garamond" w:hAnsi="Garamond"/>
              </w:rPr>
              <w:t>с 1 августа 2018 года.</w:t>
            </w:r>
            <w:r w:rsidRPr="008F68F1">
              <w:rPr>
                <w:rFonts w:ascii="Garamond" w:hAnsi="Garamond"/>
                <w:bCs/>
              </w:rPr>
              <w:t xml:space="preserve"> </w:t>
            </w:r>
          </w:p>
        </w:tc>
      </w:tr>
    </w:tbl>
    <w:p w:rsidR="00086916" w:rsidRDefault="00086916" w:rsidP="006F19E1">
      <w:pPr>
        <w:rPr>
          <w:rFonts w:ascii="Garamond" w:hAnsi="Garamond" w:cs="Garamond"/>
          <w:b/>
          <w:bCs/>
          <w:sz w:val="26"/>
          <w:szCs w:val="26"/>
        </w:rPr>
      </w:pPr>
    </w:p>
    <w:p w:rsidR="00086916" w:rsidRPr="00021929" w:rsidRDefault="00086916" w:rsidP="00D11479">
      <w:pPr>
        <w:rPr>
          <w:rFonts w:ascii="Garamond" w:hAnsi="Garamond"/>
        </w:rPr>
      </w:pPr>
      <w:r w:rsidRPr="00021929">
        <w:rPr>
          <w:rFonts w:ascii="Garamond" w:hAnsi="Garamond" w:cs="Garamond"/>
          <w:b/>
          <w:bCs/>
          <w:sz w:val="26"/>
          <w:szCs w:val="26"/>
        </w:rPr>
        <w:t xml:space="preserve">Предложения по изменениям и дополнениям в </w:t>
      </w:r>
      <w:r w:rsidRPr="00021929">
        <w:rPr>
          <w:rFonts w:ascii="Garamond" w:hAnsi="Garamond" w:cs="Garamond"/>
          <w:b/>
          <w:bCs/>
          <w:caps/>
          <w:sz w:val="26"/>
          <w:szCs w:val="26"/>
        </w:rPr>
        <w:t>РЕГЛАМЕНТ ФИНАНСОВЫХ РАСЧЕТОВ НА ОПТОВОМ РЫНКЕ ЭЛЕКТРОЭНЕРГИИ</w:t>
      </w:r>
      <w:r w:rsidRPr="00021929">
        <w:rPr>
          <w:rFonts w:ascii="Garamond" w:hAnsi="Garamond" w:cs="Garamond"/>
          <w:b/>
          <w:bCs/>
          <w:sz w:val="26"/>
          <w:szCs w:val="26"/>
        </w:rPr>
        <w:t xml:space="preserve"> (Приложение № 16 к Договору о присоединении к торговой системе оптового рынка)</w:t>
      </w:r>
    </w:p>
    <w:p w:rsidR="00086916" w:rsidRPr="00021929" w:rsidRDefault="00086916" w:rsidP="006F19E1">
      <w:pPr>
        <w:rPr>
          <w:rFonts w:ascii="Garamond" w:hAnsi="Garamond"/>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662"/>
        <w:gridCol w:w="7087"/>
      </w:tblGrid>
      <w:tr w:rsidR="00086916" w:rsidRPr="00D11479" w:rsidTr="006B1350">
        <w:trPr>
          <w:trHeight w:val="435"/>
        </w:trPr>
        <w:tc>
          <w:tcPr>
            <w:tcW w:w="993" w:type="dxa"/>
            <w:vAlign w:val="center"/>
          </w:tcPr>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w:t>
            </w:r>
          </w:p>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пункта</w:t>
            </w:r>
          </w:p>
        </w:tc>
        <w:tc>
          <w:tcPr>
            <w:tcW w:w="6662" w:type="dxa"/>
            <w:vAlign w:val="center"/>
          </w:tcPr>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 xml:space="preserve">Редакция, действующая на момент </w:t>
            </w:r>
          </w:p>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вступления в силу изменений</w:t>
            </w:r>
          </w:p>
        </w:tc>
        <w:tc>
          <w:tcPr>
            <w:tcW w:w="7087" w:type="dxa"/>
            <w:vAlign w:val="center"/>
          </w:tcPr>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Предлагаемая редакция</w:t>
            </w:r>
          </w:p>
          <w:p w:rsidR="00086916" w:rsidRPr="00D11479" w:rsidRDefault="00086916" w:rsidP="006B1350">
            <w:pPr>
              <w:jc w:val="center"/>
              <w:rPr>
                <w:rFonts w:ascii="Garamond" w:hAnsi="Garamond"/>
                <w:sz w:val="22"/>
                <w:szCs w:val="22"/>
              </w:rPr>
            </w:pPr>
            <w:r w:rsidRPr="00D11479">
              <w:rPr>
                <w:rFonts w:ascii="Garamond" w:hAnsi="Garamond"/>
                <w:sz w:val="22"/>
                <w:szCs w:val="22"/>
              </w:rPr>
              <w:t>(изменения выделены цветом)</w:t>
            </w:r>
          </w:p>
        </w:tc>
      </w:tr>
      <w:tr w:rsidR="00086916" w:rsidRPr="00D11479" w:rsidTr="006B1350">
        <w:trPr>
          <w:trHeight w:val="435"/>
        </w:trPr>
        <w:tc>
          <w:tcPr>
            <w:tcW w:w="993" w:type="dxa"/>
            <w:vAlign w:val="center"/>
          </w:tcPr>
          <w:p w:rsidR="00086916" w:rsidRPr="00D11479" w:rsidRDefault="00086916" w:rsidP="006B1350">
            <w:pPr>
              <w:jc w:val="both"/>
              <w:rPr>
                <w:rFonts w:ascii="Garamond" w:hAnsi="Garamond"/>
                <w:b/>
                <w:bCs/>
                <w:sz w:val="22"/>
                <w:szCs w:val="22"/>
              </w:rPr>
            </w:pPr>
            <w:r w:rsidRPr="00D11479">
              <w:rPr>
                <w:rFonts w:ascii="Garamond" w:hAnsi="Garamond"/>
                <w:b/>
                <w:bCs/>
                <w:sz w:val="22"/>
                <w:szCs w:val="22"/>
              </w:rPr>
              <w:t>20.7.8</w:t>
            </w:r>
          </w:p>
        </w:tc>
        <w:tc>
          <w:tcPr>
            <w:tcW w:w="6662" w:type="dxa"/>
            <w:vAlign w:val="center"/>
          </w:tcPr>
          <w:p w:rsidR="00086916" w:rsidRPr="00D11479" w:rsidRDefault="00086916" w:rsidP="006B1350">
            <w:pPr>
              <w:pStyle w:val="Heading3"/>
              <w:widowControl w:val="0"/>
              <w:numPr>
                <w:ilvl w:val="0"/>
                <w:numId w:val="0"/>
              </w:numPr>
              <w:spacing w:line="240" w:lineRule="auto"/>
              <w:ind w:left="33"/>
              <w:rPr>
                <w:rFonts w:ascii="Garamond" w:hAnsi="Garamond"/>
                <w:szCs w:val="22"/>
              </w:rPr>
            </w:pPr>
            <w:r w:rsidRPr="00D11479">
              <w:rPr>
                <w:rFonts w:ascii="Garamond" w:hAnsi="Garamond"/>
                <w:szCs w:val="22"/>
              </w:rPr>
              <w:t>Определение предварительных величин штрафов по ДПМ</w:t>
            </w:r>
          </w:p>
          <w:p w:rsidR="00086916" w:rsidRPr="00D11479" w:rsidRDefault="00086916" w:rsidP="006B1350">
            <w:pPr>
              <w:spacing w:before="120" w:after="120"/>
              <w:ind w:firstLine="540"/>
              <w:jc w:val="both"/>
              <w:rPr>
                <w:rFonts w:ascii="Garamond" w:hAnsi="Garamond"/>
                <w:sz w:val="22"/>
                <w:szCs w:val="22"/>
              </w:rPr>
            </w:pPr>
            <w:r w:rsidRPr="00D11479">
              <w:rPr>
                <w:rFonts w:ascii="Garamond" w:hAnsi="Garamond"/>
                <w:sz w:val="22"/>
                <w:szCs w:val="22"/>
              </w:rPr>
              <w:t xml:space="preserve">В случае если в повестку Наблюдательного совета Совета рынка был включен вопрос об установлении факта неисполнения (ненадлежащего исполнения) продавцом обязательств по ДПМ и (или) наличии оснований для расчета и списания штрафа в отношении генерирующего объекта </w:t>
            </w:r>
            <w:r w:rsidRPr="00D11479">
              <w:rPr>
                <w:rFonts w:ascii="Garamond" w:hAnsi="Garamond"/>
                <w:i/>
                <w:sz w:val="22"/>
                <w:szCs w:val="22"/>
              </w:rPr>
              <w:t>g</w:t>
            </w:r>
            <w:r w:rsidRPr="00D11479">
              <w:rPr>
                <w:rFonts w:ascii="Garamond" w:hAnsi="Garamond"/>
                <w:sz w:val="22"/>
                <w:szCs w:val="22"/>
              </w:rPr>
              <w:t xml:space="preserve"> за расчетный месяц </w:t>
            </w:r>
            <w:r w:rsidRPr="00D11479">
              <w:rPr>
                <w:rFonts w:ascii="Garamond" w:hAnsi="Garamond"/>
                <w:i/>
                <w:sz w:val="22"/>
                <w:szCs w:val="22"/>
              </w:rPr>
              <w:t>m</w:t>
            </w:r>
            <w:r w:rsidRPr="00D11479">
              <w:rPr>
                <w:rFonts w:ascii="Garamond" w:hAnsi="Garamond"/>
                <w:sz w:val="22"/>
                <w:szCs w:val="22"/>
              </w:rPr>
              <w:t xml:space="preserve">, но Наблюдательным советом Совета рынка не принято решение об установлении факта неисполнения (ненадлежащего исполнения) продавцом обязательств по договорам о предоставлении мощности и наличии оснований для расчета и списания штрафа (либо соответствующий вопрос не рассматривался и (или) его рассмотрение было перенесено, либо был установлен факт неисполнения (ненадлежащего исполнения) продавцом обязательств, но было принято решение не проводить расчет штрафа </w:t>
            </w:r>
            <w:r w:rsidRPr="00D11479">
              <w:rPr>
                <w:rFonts w:ascii="Garamond" w:hAnsi="Garamond"/>
                <w:sz w:val="22"/>
                <w:szCs w:val="22"/>
                <w:highlight w:val="yellow"/>
              </w:rPr>
              <w:t>до принятия Наблюдательным советом Совета рынка соответствующего решения об их расчете в порядке и случаях, указанных в данном решении</w:t>
            </w:r>
            <w:r w:rsidRPr="00D11479">
              <w:rPr>
                <w:rFonts w:ascii="Garamond" w:hAnsi="Garamond"/>
                <w:sz w:val="22"/>
                <w:szCs w:val="22"/>
              </w:rPr>
              <w:t xml:space="preserve">) либо было принято решение об установлении наличия оснований для расчета и списания штрафа в отношении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за расчетный месяц </w:t>
            </w:r>
            <w:r w:rsidRPr="00D11479">
              <w:rPr>
                <w:rFonts w:ascii="Garamond" w:hAnsi="Garamond"/>
                <w:i/>
                <w:sz w:val="22"/>
                <w:szCs w:val="22"/>
                <w:lang w:val="en-US"/>
              </w:rPr>
              <w:t>m</w:t>
            </w:r>
            <w:r w:rsidRPr="00D11479">
              <w:rPr>
                <w:rFonts w:ascii="Garamond" w:hAnsi="Garamond"/>
                <w:sz w:val="22"/>
                <w:szCs w:val="22"/>
              </w:rPr>
              <w:t xml:space="preserve">, при этом в решении указан месяц проведения расчета штрафов за расчетный месяц </w:t>
            </w:r>
            <w:r w:rsidRPr="00D11479">
              <w:rPr>
                <w:rFonts w:ascii="Garamond" w:hAnsi="Garamond"/>
                <w:i/>
                <w:sz w:val="22"/>
                <w:szCs w:val="22"/>
                <w:lang w:val="en-US"/>
              </w:rPr>
              <w:t>m</w:t>
            </w:r>
            <w:r w:rsidRPr="00D11479">
              <w:rPr>
                <w:rFonts w:ascii="Garamond" w:hAnsi="Garamond"/>
                <w:sz w:val="22"/>
                <w:szCs w:val="22"/>
              </w:rPr>
              <w:t xml:space="preserve"> позднее месяца </w:t>
            </w:r>
            <w:r w:rsidRPr="00D11479">
              <w:rPr>
                <w:rFonts w:ascii="Garamond" w:hAnsi="Garamond"/>
                <w:i/>
                <w:sz w:val="22"/>
                <w:szCs w:val="22"/>
                <w:lang w:val="en-US"/>
              </w:rPr>
              <w:t>m</w:t>
            </w:r>
            <w:r w:rsidRPr="00D11479">
              <w:rPr>
                <w:rFonts w:ascii="Garamond" w:hAnsi="Garamond"/>
                <w:sz w:val="22"/>
                <w:szCs w:val="22"/>
              </w:rPr>
              <w:t xml:space="preserve">+1, КО предварительно формирует величины штрафов участника оптового рынка </w:t>
            </w:r>
            <w:r w:rsidRPr="00D11479">
              <w:rPr>
                <w:rFonts w:ascii="Garamond" w:hAnsi="Garamond"/>
                <w:i/>
                <w:sz w:val="22"/>
                <w:szCs w:val="22"/>
                <w:lang w:val="en-US"/>
              </w:rPr>
              <w:t>i</w:t>
            </w:r>
            <w:r w:rsidRPr="00D11479">
              <w:rPr>
                <w:rFonts w:ascii="Garamond" w:hAnsi="Garamond"/>
                <w:sz w:val="22"/>
                <w:szCs w:val="22"/>
              </w:rPr>
              <w:t xml:space="preserve"> – продавца по ДПМ в отношении генерирующего объекта </w:t>
            </w:r>
            <w:r w:rsidRPr="00D11479">
              <w:rPr>
                <w:rFonts w:ascii="Garamond" w:hAnsi="Garamond"/>
                <w:i/>
                <w:sz w:val="22"/>
                <w:szCs w:val="22"/>
              </w:rPr>
              <w:t>g</w:t>
            </w:r>
            <w:r w:rsidRPr="00D11479">
              <w:rPr>
                <w:rFonts w:ascii="Garamond" w:hAnsi="Garamond"/>
                <w:sz w:val="22"/>
                <w:szCs w:val="22"/>
              </w:rPr>
              <w:t xml:space="preserve"> за соответствующие нарушения в расчетном месяце </w:t>
            </w:r>
            <w:r w:rsidRPr="00D11479">
              <w:rPr>
                <w:rFonts w:ascii="Garamond" w:hAnsi="Garamond"/>
                <w:i/>
                <w:sz w:val="22"/>
                <w:szCs w:val="22"/>
              </w:rPr>
              <w:t>m</w:t>
            </w:r>
            <w:r w:rsidRPr="00D11479">
              <w:rPr>
                <w:rFonts w:ascii="Garamond" w:hAnsi="Garamond"/>
                <w:sz w:val="22"/>
                <w:szCs w:val="22"/>
              </w:rPr>
              <w:t xml:space="preserve">: </w:t>
            </w:r>
            <w:r w:rsidRPr="00D11479">
              <w:rPr>
                <w:rFonts w:ascii="Garamond" w:hAnsi="Garamond"/>
                <w:position w:val="-14"/>
                <w:sz w:val="22"/>
                <w:szCs w:val="22"/>
              </w:rPr>
              <w:object w:dxaOrig="21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0.25pt" o:ole="">
                  <v:imagedata r:id="rId5" o:title=""/>
                </v:shape>
                <o:OLEObject Type="Embed" ProgID="Equation.3" ShapeID="_x0000_i1025" DrawAspect="Content" ObjectID="_1597832904" r:id="rId6"/>
              </w:object>
            </w:r>
            <w:r w:rsidRPr="00D11479">
              <w:rPr>
                <w:rFonts w:ascii="Garamond" w:hAnsi="Garamond"/>
                <w:sz w:val="22"/>
                <w:szCs w:val="22"/>
              </w:rPr>
              <w:t xml:space="preserve">, </w:t>
            </w:r>
            <w:r w:rsidRPr="00D11479">
              <w:rPr>
                <w:rFonts w:ascii="Garamond" w:hAnsi="Garamond"/>
                <w:position w:val="-14"/>
                <w:sz w:val="22"/>
                <w:szCs w:val="22"/>
              </w:rPr>
              <w:object w:dxaOrig="1980" w:dyaOrig="400">
                <v:shape id="_x0000_i1026" type="#_x0000_t75" style="width:99pt;height:20.25pt" o:ole="">
                  <v:imagedata r:id="rId7" o:title=""/>
                </v:shape>
                <o:OLEObject Type="Embed" ProgID="Equation.3" ShapeID="_x0000_i1026" DrawAspect="Content" ObjectID="_1597832905" r:id="rId8"/>
              </w:object>
            </w:r>
            <w:r w:rsidRPr="00D11479">
              <w:rPr>
                <w:rFonts w:ascii="Garamond" w:hAnsi="Garamond"/>
                <w:sz w:val="22"/>
                <w:szCs w:val="22"/>
              </w:rPr>
              <w:t xml:space="preserve">, </w:t>
            </w:r>
            <w:r w:rsidRPr="00D11479">
              <w:rPr>
                <w:rFonts w:ascii="Garamond" w:hAnsi="Garamond"/>
                <w:position w:val="-14"/>
                <w:sz w:val="22"/>
                <w:szCs w:val="22"/>
              </w:rPr>
              <w:object w:dxaOrig="1840" w:dyaOrig="400">
                <v:shape id="_x0000_i1027" type="#_x0000_t75" style="width:92.25pt;height:20.25pt" o:ole="">
                  <v:imagedata r:id="rId9" o:title=""/>
                </v:shape>
                <o:OLEObject Type="Embed" ProgID="Equation.3" ShapeID="_x0000_i1027" DrawAspect="Content" ObjectID="_1597832906" r:id="rId10"/>
              </w:object>
            </w:r>
            <w:r w:rsidRPr="00D11479">
              <w:rPr>
                <w:rFonts w:ascii="Garamond" w:hAnsi="Garamond"/>
                <w:sz w:val="22"/>
                <w:szCs w:val="22"/>
              </w:rPr>
              <w:t xml:space="preserve"> – в порядке, установленном пунктами 20.7.1–20.7.3, 20.7.7 настоящего Регламента для расчета величин </w:t>
            </w:r>
            <w:r w:rsidRPr="00D11479">
              <w:rPr>
                <w:rFonts w:ascii="Garamond" w:hAnsi="Garamond"/>
                <w:position w:val="-14"/>
                <w:sz w:val="22"/>
                <w:szCs w:val="22"/>
              </w:rPr>
              <w:object w:dxaOrig="2079" w:dyaOrig="400">
                <v:shape id="_x0000_i1028" type="#_x0000_t75" style="width:104.25pt;height:20.25pt" o:ole="">
                  <v:imagedata r:id="rId11" o:title=""/>
                </v:shape>
                <o:OLEObject Type="Embed" ProgID="Equation.3" ShapeID="_x0000_i1028" DrawAspect="Content" ObjectID="_1597832907" r:id="rId12"/>
              </w:object>
            </w:r>
            <w:r w:rsidRPr="00D11479">
              <w:rPr>
                <w:rFonts w:ascii="Garamond" w:hAnsi="Garamond"/>
                <w:sz w:val="22"/>
                <w:szCs w:val="22"/>
              </w:rPr>
              <w:t xml:space="preserve">, </w:t>
            </w:r>
            <w:r w:rsidRPr="00D11479">
              <w:rPr>
                <w:rFonts w:ascii="Garamond" w:hAnsi="Garamond"/>
                <w:position w:val="-14"/>
                <w:sz w:val="22"/>
                <w:szCs w:val="22"/>
              </w:rPr>
              <w:object w:dxaOrig="1900" w:dyaOrig="400">
                <v:shape id="_x0000_i1029" type="#_x0000_t75" style="width:95.25pt;height:20.25pt" o:ole="">
                  <v:imagedata r:id="rId13" o:title=""/>
                </v:shape>
                <o:OLEObject Type="Embed" ProgID="Equation.3" ShapeID="_x0000_i1029" DrawAspect="Content" ObjectID="_1597832908" r:id="rId14"/>
              </w:object>
            </w:r>
            <w:r w:rsidRPr="00D11479">
              <w:rPr>
                <w:rFonts w:ascii="Garamond" w:hAnsi="Garamond"/>
                <w:sz w:val="22"/>
                <w:szCs w:val="22"/>
              </w:rPr>
              <w:t xml:space="preserve">, </w:t>
            </w:r>
            <w:r w:rsidRPr="00D11479">
              <w:rPr>
                <w:rFonts w:ascii="Garamond" w:hAnsi="Garamond"/>
                <w:position w:val="-14"/>
                <w:sz w:val="22"/>
                <w:szCs w:val="22"/>
              </w:rPr>
              <w:object w:dxaOrig="1780" w:dyaOrig="400">
                <v:shape id="_x0000_i1030" type="#_x0000_t75" style="width:89.25pt;height:20.25pt" o:ole="">
                  <v:imagedata r:id="rId15" o:title=""/>
                </v:shape>
                <o:OLEObject Type="Embed" ProgID="Equation.3" ShapeID="_x0000_i1030" DrawAspect="Content" ObjectID="_1597832909" r:id="rId16"/>
              </w:object>
            </w:r>
            <w:r w:rsidRPr="00D11479">
              <w:rPr>
                <w:rFonts w:ascii="Garamond" w:hAnsi="Garamond"/>
                <w:sz w:val="22"/>
                <w:szCs w:val="22"/>
              </w:rPr>
              <w:t xml:space="preserve">, на основе предварительно распределенного объема, направленного на рассмотрение Наблюдательным советом Совета рынка как штрафуемого объема в отношении генерирующего объекта </w:t>
            </w:r>
            <w:r w:rsidRPr="00D11479">
              <w:rPr>
                <w:rFonts w:ascii="Garamond" w:hAnsi="Garamond"/>
                <w:i/>
                <w:sz w:val="22"/>
                <w:szCs w:val="22"/>
              </w:rPr>
              <w:t>g</w:t>
            </w:r>
            <w:r w:rsidRPr="00D11479">
              <w:rPr>
                <w:rFonts w:ascii="Garamond" w:hAnsi="Garamond"/>
                <w:sz w:val="22"/>
                <w:szCs w:val="22"/>
              </w:rPr>
              <w:t xml:space="preserve"> за расчетный месяц </w:t>
            </w:r>
            <w:r w:rsidRPr="00D11479">
              <w:rPr>
                <w:rFonts w:ascii="Garamond" w:hAnsi="Garamond"/>
                <w:i/>
                <w:sz w:val="22"/>
                <w:szCs w:val="22"/>
              </w:rPr>
              <w:t>m</w:t>
            </w:r>
            <w:r w:rsidRPr="00D11479">
              <w:rPr>
                <w:rFonts w:ascii="Garamond" w:hAnsi="Garamond"/>
                <w:sz w:val="22"/>
                <w:szCs w:val="22"/>
              </w:rPr>
              <w:t xml:space="preserve">, определенного в порядке, установленном </w:t>
            </w:r>
            <w:r w:rsidRPr="00D11479">
              <w:rPr>
                <w:rFonts w:ascii="Garamond" w:hAnsi="Garamond"/>
                <w:i/>
                <w:sz w:val="22"/>
                <w:szCs w:val="22"/>
              </w:rPr>
              <w:t>Регламентом определения объемов мощности, продаваемой по договорам о предоставлении мощности</w:t>
            </w:r>
            <w:r w:rsidRPr="00D11479">
              <w:rPr>
                <w:rFonts w:ascii="Garamond" w:hAnsi="Garamond"/>
                <w:sz w:val="22"/>
                <w:szCs w:val="22"/>
              </w:rPr>
              <w:t xml:space="preserve"> (Приложение № 6.7 к </w:t>
            </w:r>
            <w:r w:rsidRPr="00D11479">
              <w:rPr>
                <w:rFonts w:ascii="Garamond" w:hAnsi="Garamond"/>
                <w:i/>
                <w:sz w:val="22"/>
                <w:szCs w:val="22"/>
              </w:rPr>
              <w:t>Договору о присоединении к торговой системе оптового рынка</w:t>
            </w:r>
            <w:r w:rsidRPr="00D11479">
              <w:rPr>
                <w:rFonts w:ascii="Garamond" w:hAnsi="Garamond"/>
                <w:sz w:val="22"/>
                <w:szCs w:val="22"/>
              </w:rPr>
              <w:t>).</w:t>
            </w:r>
          </w:p>
          <w:p w:rsidR="00086916" w:rsidRPr="00D11479" w:rsidRDefault="00086916" w:rsidP="00943CC2">
            <w:pPr>
              <w:spacing w:before="120" w:after="120"/>
              <w:ind w:firstLine="540"/>
              <w:jc w:val="both"/>
              <w:rPr>
                <w:rFonts w:ascii="Garamond" w:hAnsi="Garamond"/>
                <w:sz w:val="22"/>
                <w:szCs w:val="22"/>
              </w:rPr>
            </w:pPr>
            <w:r w:rsidRPr="00D11479">
              <w:rPr>
                <w:rFonts w:ascii="Garamond" w:hAnsi="Garamond" w:cs="Arial"/>
                <w:sz w:val="22"/>
                <w:szCs w:val="22"/>
              </w:rPr>
              <w:t xml:space="preserve">В случае если </w:t>
            </w:r>
            <w:r w:rsidRPr="00D11479">
              <w:rPr>
                <w:rFonts w:ascii="Garamond" w:hAnsi="Garamond"/>
                <w:sz w:val="22"/>
                <w:szCs w:val="22"/>
              </w:rPr>
              <w:t xml:space="preserve">Наблюдательным советом Совета рынка было принято решение о согласии с применением к участнику оптового рынка </w:t>
            </w:r>
            <w:r w:rsidRPr="00D11479">
              <w:rPr>
                <w:rFonts w:ascii="Garamond" w:hAnsi="Garamond"/>
                <w:i/>
                <w:sz w:val="22"/>
                <w:szCs w:val="22"/>
                <w:lang w:val="en-US"/>
              </w:rPr>
              <w:t>i</w:t>
            </w:r>
            <w:r w:rsidRPr="00D11479">
              <w:rPr>
                <w:rFonts w:ascii="Garamond" w:hAnsi="Garamond"/>
                <w:sz w:val="22"/>
                <w:szCs w:val="22"/>
              </w:rPr>
              <w:t xml:space="preserve"> – продавцу по ДПМ предусмотренного пунктом 14.5 ДПМ (Приложения № Д 16, Д 16.1 к </w:t>
            </w:r>
            <w:r w:rsidRPr="00D11479">
              <w:rPr>
                <w:rFonts w:ascii="Garamond" w:hAnsi="Garamond"/>
                <w:i/>
                <w:sz w:val="22"/>
                <w:szCs w:val="22"/>
              </w:rPr>
              <w:t>Договору о присоединении к торговой системе оптового рынка</w:t>
            </w:r>
            <w:r w:rsidRPr="00D11479">
              <w:rPr>
                <w:rFonts w:ascii="Garamond" w:hAnsi="Garamond"/>
                <w:sz w:val="22"/>
                <w:szCs w:val="22"/>
              </w:rPr>
              <w:t>) порядка взыскания неустойки</w:t>
            </w:r>
            <w:r w:rsidRPr="00D11479" w:rsidDel="0040302B">
              <w:rPr>
                <w:rFonts w:ascii="Garamond" w:hAnsi="Garamond"/>
                <w:sz w:val="22"/>
                <w:szCs w:val="22"/>
              </w:rPr>
              <w:t xml:space="preserve"> </w:t>
            </w:r>
            <w:r w:rsidRPr="00D11479">
              <w:rPr>
                <w:rFonts w:ascii="Garamond" w:hAnsi="Garamond"/>
                <w:sz w:val="22"/>
                <w:szCs w:val="22"/>
              </w:rPr>
              <w:t xml:space="preserve">за просрочку даты начала исполнения обязательств по поставке мощности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и расчетный месяц </w:t>
            </w:r>
            <w:r w:rsidRPr="00D11479">
              <w:rPr>
                <w:rFonts w:ascii="Garamond" w:hAnsi="Garamond"/>
                <w:i/>
                <w:sz w:val="22"/>
                <w:szCs w:val="22"/>
              </w:rPr>
              <w:t>m</w:t>
            </w:r>
            <w:r w:rsidRPr="00D11479">
              <w:rPr>
                <w:rFonts w:ascii="Garamond" w:hAnsi="Garamond"/>
                <w:sz w:val="22"/>
                <w:szCs w:val="22"/>
              </w:rPr>
              <w:t xml:space="preserve"> относится к периоду, начиная с месяца, в котором принято вышеуказанное решение Наблюдательного совета Совета рынка, и по 33-й месяц (включительно) просрочки даты начала исполнения обязательства по поставке мощности такого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то КО не производит предварительное формирование величины штрафов участника оптового рынка </w:t>
            </w:r>
            <w:r w:rsidRPr="00D11479">
              <w:rPr>
                <w:rFonts w:ascii="Garamond" w:hAnsi="Garamond"/>
                <w:i/>
                <w:sz w:val="22"/>
                <w:szCs w:val="22"/>
                <w:lang w:val="en-US"/>
              </w:rPr>
              <w:t>i</w:t>
            </w:r>
            <w:r w:rsidRPr="00D11479">
              <w:rPr>
                <w:rFonts w:ascii="Garamond" w:hAnsi="Garamond"/>
                <w:sz w:val="22"/>
                <w:szCs w:val="22"/>
              </w:rPr>
              <w:t xml:space="preserve"> – продавца по ДПМ в отношении генерирующего объекта </w:t>
            </w:r>
            <w:r w:rsidRPr="00D11479">
              <w:rPr>
                <w:rFonts w:ascii="Garamond" w:hAnsi="Garamond"/>
                <w:i/>
                <w:sz w:val="22"/>
                <w:szCs w:val="22"/>
              </w:rPr>
              <w:t xml:space="preserve">g </w:t>
            </w:r>
            <w:r w:rsidRPr="00D11479">
              <w:rPr>
                <w:rFonts w:ascii="Garamond" w:hAnsi="Garamond"/>
                <w:sz w:val="22"/>
                <w:szCs w:val="22"/>
              </w:rPr>
              <w:t xml:space="preserve">за просрочку даты начала исполнения обязательств по поставке мощности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в расчетном месяце </w:t>
            </w:r>
            <w:r w:rsidRPr="00D11479">
              <w:rPr>
                <w:rFonts w:ascii="Garamond" w:hAnsi="Garamond"/>
                <w:i/>
                <w:sz w:val="22"/>
                <w:szCs w:val="22"/>
                <w:lang w:val="en-US"/>
              </w:rPr>
              <w:t>m</w:t>
            </w:r>
            <w:r w:rsidRPr="00D11479">
              <w:rPr>
                <w:rFonts w:ascii="Garamond" w:hAnsi="Garamond"/>
                <w:sz w:val="22"/>
                <w:szCs w:val="22"/>
              </w:rPr>
              <w:t xml:space="preserve"> </w:t>
            </w:r>
            <w:r w:rsidRPr="00D11479">
              <w:rPr>
                <w:rFonts w:ascii="Garamond" w:hAnsi="Garamond"/>
                <w:position w:val="-14"/>
                <w:sz w:val="22"/>
                <w:szCs w:val="22"/>
              </w:rPr>
              <w:object w:dxaOrig="2160" w:dyaOrig="400">
                <v:shape id="_x0000_i1031" type="#_x0000_t75" style="width:108pt;height:20.25pt" o:ole="">
                  <v:imagedata r:id="rId5" o:title=""/>
                </v:shape>
                <o:OLEObject Type="Embed" ProgID="Equation.3" ShapeID="_x0000_i1031" DrawAspect="Content" ObjectID="_1597832910" r:id="rId17"/>
              </w:object>
            </w:r>
            <w:r w:rsidRPr="00D11479">
              <w:rPr>
                <w:rFonts w:ascii="Garamond" w:hAnsi="Garamond"/>
                <w:sz w:val="22"/>
                <w:szCs w:val="22"/>
              </w:rPr>
              <w:t>.</w:t>
            </w:r>
          </w:p>
        </w:tc>
        <w:tc>
          <w:tcPr>
            <w:tcW w:w="7087" w:type="dxa"/>
            <w:vAlign w:val="center"/>
          </w:tcPr>
          <w:p w:rsidR="00086916" w:rsidRPr="00D11479" w:rsidRDefault="00086916" w:rsidP="006B1350">
            <w:pPr>
              <w:pStyle w:val="Heading3"/>
              <w:widowControl w:val="0"/>
              <w:numPr>
                <w:ilvl w:val="0"/>
                <w:numId w:val="0"/>
              </w:numPr>
              <w:spacing w:line="240" w:lineRule="auto"/>
              <w:ind w:left="33"/>
              <w:rPr>
                <w:rFonts w:ascii="Garamond" w:hAnsi="Garamond"/>
                <w:szCs w:val="22"/>
              </w:rPr>
            </w:pPr>
            <w:r w:rsidRPr="00D11479">
              <w:rPr>
                <w:rFonts w:ascii="Garamond" w:hAnsi="Garamond"/>
                <w:szCs w:val="22"/>
              </w:rPr>
              <w:t>Определение предварительных величин штрафов по ДПМ</w:t>
            </w:r>
          </w:p>
          <w:p w:rsidR="00086916" w:rsidRPr="00D11479" w:rsidRDefault="00086916" w:rsidP="006B1350">
            <w:pPr>
              <w:spacing w:before="120" w:after="120"/>
              <w:ind w:firstLine="540"/>
              <w:jc w:val="both"/>
              <w:rPr>
                <w:rFonts w:ascii="Garamond" w:hAnsi="Garamond"/>
                <w:sz w:val="22"/>
                <w:szCs w:val="22"/>
              </w:rPr>
            </w:pPr>
            <w:r w:rsidRPr="00D11479">
              <w:rPr>
                <w:rFonts w:ascii="Garamond" w:hAnsi="Garamond"/>
                <w:sz w:val="22"/>
                <w:szCs w:val="22"/>
              </w:rPr>
              <w:t xml:space="preserve">В случае если в повестку Наблюдательного совета Совета рынка был включен вопрос об установлении факта неисполнения (ненадлежащего исполнения) продавцом обязательств по ДПМ и (или) наличии оснований для расчета и списания штрафа в отношении генерирующего объекта </w:t>
            </w:r>
            <w:r w:rsidRPr="00D11479">
              <w:rPr>
                <w:rFonts w:ascii="Garamond" w:hAnsi="Garamond"/>
                <w:i/>
                <w:sz w:val="22"/>
                <w:szCs w:val="22"/>
              </w:rPr>
              <w:t>g</w:t>
            </w:r>
            <w:r w:rsidRPr="00D11479">
              <w:rPr>
                <w:rFonts w:ascii="Garamond" w:hAnsi="Garamond"/>
                <w:sz w:val="22"/>
                <w:szCs w:val="22"/>
              </w:rPr>
              <w:t xml:space="preserve"> за расчетный месяц </w:t>
            </w:r>
            <w:r w:rsidRPr="00D11479">
              <w:rPr>
                <w:rFonts w:ascii="Garamond" w:hAnsi="Garamond"/>
                <w:i/>
                <w:sz w:val="22"/>
                <w:szCs w:val="22"/>
              </w:rPr>
              <w:t>m</w:t>
            </w:r>
            <w:r w:rsidRPr="00D11479">
              <w:rPr>
                <w:rFonts w:ascii="Garamond" w:hAnsi="Garamond"/>
                <w:sz w:val="22"/>
                <w:szCs w:val="22"/>
              </w:rPr>
              <w:t xml:space="preserve">, но Наблюдательным советом Совета рынка не принято решение об установлении факта неисполнения (ненадлежащего исполнения) продавцом обязательств по договорам о предоставлении мощности и наличии оснований для расчета и списания штрафа (либо соответствующий вопрос не рассматривался и (или) его рассмотрение было перенесено, либо был установлен факт неисполнения (ненадлежащего исполнения) продавцом обязательств, но было принято решение не проводить расчет штрафа) либо было принято решение об установлении наличия оснований для расчета и списания штрафа в отношении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за расчетный месяц </w:t>
            </w:r>
            <w:r w:rsidRPr="00D11479">
              <w:rPr>
                <w:rFonts w:ascii="Garamond" w:hAnsi="Garamond"/>
                <w:i/>
                <w:sz w:val="22"/>
                <w:szCs w:val="22"/>
                <w:lang w:val="en-US"/>
              </w:rPr>
              <w:t>m</w:t>
            </w:r>
            <w:r w:rsidRPr="00D11479">
              <w:rPr>
                <w:rFonts w:ascii="Garamond" w:hAnsi="Garamond"/>
                <w:sz w:val="22"/>
                <w:szCs w:val="22"/>
              </w:rPr>
              <w:t xml:space="preserve">, при этом в решении указан месяц проведения расчета штрафов за расчетный месяц </w:t>
            </w:r>
            <w:r w:rsidRPr="00D11479">
              <w:rPr>
                <w:rFonts w:ascii="Garamond" w:hAnsi="Garamond"/>
                <w:i/>
                <w:sz w:val="22"/>
                <w:szCs w:val="22"/>
                <w:lang w:val="en-US"/>
              </w:rPr>
              <w:t>m</w:t>
            </w:r>
            <w:r w:rsidRPr="00D11479">
              <w:rPr>
                <w:rFonts w:ascii="Garamond" w:hAnsi="Garamond"/>
                <w:sz w:val="22"/>
                <w:szCs w:val="22"/>
              </w:rPr>
              <w:t xml:space="preserve"> позднее месяца </w:t>
            </w:r>
            <w:r w:rsidRPr="00D11479">
              <w:rPr>
                <w:rFonts w:ascii="Garamond" w:hAnsi="Garamond"/>
                <w:i/>
                <w:sz w:val="22"/>
                <w:szCs w:val="22"/>
                <w:lang w:val="en-US"/>
              </w:rPr>
              <w:t>m</w:t>
            </w:r>
            <w:r w:rsidRPr="00D11479">
              <w:rPr>
                <w:rFonts w:ascii="Garamond" w:hAnsi="Garamond"/>
                <w:sz w:val="22"/>
                <w:szCs w:val="22"/>
              </w:rPr>
              <w:t xml:space="preserve">+1, КО предварительно формирует величины штрафов участника оптового рынка </w:t>
            </w:r>
            <w:r w:rsidRPr="00D11479">
              <w:rPr>
                <w:rFonts w:ascii="Garamond" w:hAnsi="Garamond"/>
                <w:i/>
                <w:sz w:val="22"/>
                <w:szCs w:val="22"/>
                <w:lang w:val="en-US"/>
              </w:rPr>
              <w:t>i</w:t>
            </w:r>
            <w:r w:rsidRPr="00D11479">
              <w:rPr>
                <w:rFonts w:ascii="Garamond" w:hAnsi="Garamond"/>
                <w:sz w:val="22"/>
                <w:szCs w:val="22"/>
              </w:rPr>
              <w:t xml:space="preserve"> – продавца по ДПМ в отношении генерирующего объекта </w:t>
            </w:r>
            <w:r w:rsidRPr="00D11479">
              <w:rPr>
                <w:rFonts w:ascii="Garamond" w:hAnsi="Garamond"/>
                <w:i/>
                <w:sz w:val="22"/>
                <w:szCs w:val="22"/>
              </w:rPr>
              <w:t>g</w:t>
            </w:r>
            <w:r w:rsidRPr="00D11479">
              <w:rPr>
                <w:rFonts w:ascii="Garamond" w:hAnsi="Garamond"/>
                <w:sz w:val="22"/>
                <w:szCs w:val="22"/>
              </w:rPr>
              <w:t xml:space="preserve"> за соответствующие нарушения в расчетном месяце </w:t>
            </w:r>
            <w:r w:rsidRPr="00D11479">
              <w:rPr>
                <w:rFonts w:ascii="Garamond" w:hAnsi="Garamond"/>
                <w:i/>
                <w:sz w:val="22"/>
                <w:szCs w:val="22"/>
              </w:rPr>
              <w:t>m</w:t>
            </w:r>
            <w:r w:rsidRPr="00D11479">
              <w:rPr>
                <w:rFonts w:ascii="Garamond" w:hAnsi="Garamond"/>
                <w:sz w:val="22"/>
                <w:szCs w:val="22"/>
              </w:rPr>
              <w:t xml:space="preserve">: </w:t>
            </w:r>
            <w:r w:rsidRPr="00D11479">
              <w:rPr>
                <w:rFonts w:ascii="Garamond" w:hAnsi="Garamond"/>
                <w:position w:val="-14"/>
                <w:sz w:val="22"/>
                <w:szCs w:val="22"/>
              </w:rPr>
              <w:object w:dxaOrig="2160" w:dyaOrig="400">
                <v:shape id="_x0000_i1032" type="#_x0000_t75" style="width:108pt;height:20.25pt" o:ole="">
                  <v:imagedata r:id="rId5" o:title=""/>
                </v:shape>
                <o:OLEObject Type="Embed" ProgID="Equation.3" ShapeID="_x0000_i1032" DrawAspect="Content" ObjectID="_1597832911" r:id="rId18"/>
              </w:object>
            </w:r>
            <w:r w:rsidRPr="00D11479">
              <w:rPr>
                <w:rFonts w:ascii="Garamond" w:hAnsi="Garamond"/>
                <w:sz w:val="22"/>
                <w:szCs w:val="22"/>
              </w:rPr>
              <w:t xml:space="preserve">, </w:t>
            </w:r>
            <w:r w:rsidRPr="00D11479">
              <w:rPr>
                <w:rFonts w:ascii="Garamond" w:hAnsi="Garamond"/>
                <w:position w:val="-14"/>
                <w:sz w:val="22"/>
                <w:szCs w:val="22"/>
              </w:rPr>
              <w:object w:dxaOrig="1980" w:dyaOrig="400">
                <v:shape id="_x0000_i1033" type="#_x0000_t75" style="width:99pt;height:20.25pt" o:ole="">
                  <v:imagedata r:id="rId7" o:title=""/>
                </v:shape>
                <o:OLEObject Type="Embed" ProgID="Equation.3" ShapeID="_x0000_i1033" DrawAspect="Content" ObjectID="_1597832912" r:id="rId19"/>
              </w:object>
            </w:r>
            <w:r w:rsidRPr="00D11479">
              <w:rPr>
                <w:rFonts w:ascii="Garamond" w:hAnsi="Garamond"/>
                <w:sz w:val="22"/>
                <w:szCs w:val="22"/>
              </w:rPr>
              <w:t xml:space="preserve">, </w:t>
            </w:r>
            <w:r w:rsidRPr="00D11479">
              <w:rPr>
                <w:rFonts w:ascii="Garamond" w:hAnsi="Garamond"/>
                <w:position w:val="-14"/>
                <w:sz w:val="22"/>
                <w:szCs w:val="22"/>
              </w:rPr>
              <w:object w:dxaOrig="1840" w:dyaOrig="400">
                <v:shape id="_x0000_i1034" type="#_x0000_t75" style="width:92.25pt;height:20.25pt" o:ole="">
                  <v:imagedata r:id="rId9" o:title=""/>
                </v:shape>
                <o:OLEObject Type="Embed" ProgID="Equation.3" ShapeID="_x0000_i1034" DrawAspect="Content" ObjectID="_1597832913" r:id="rId20"/>
              </w:object>
            </w:r>
            <w:r w:rsidRPr="00D11479">
              <w:rPr>
                <w:rFonts w:ascii="Garamond" w:hAnsi="Garamond"/>
                <w:sz w:val="22"/>
                <w:szCs w:val="22"/>
              </w:rPr>
              <w:t xml:space="preserve"> – в порядке, установленном пунктами 20.7.1–20.7.3, 20.7.7 настоящего Регламента для расчета величин </w:t>
            </w:r>
            <w:r w:rsidRPr="00D11479">
              <w:rPr>
                <w:rFonts w:ascii="Garamond" w:hAnsi="Garamond"/>
                <w:position w:val="-14"/>
                <w:sz w:val="22"/>
                <w:szCs w:val="22"/>
              </w:rPr>
              <w:object w:dxaOrig="2079" w:dyaOrig="400">
                <v:shape id="_x0000_i1035" type="#_x0000_t75" style="width:104.25pt;height:20.25pt" o:ole="">
                  <v:imagedata r:id="rId11" o:title=""/>
                </v:shape>
                <o:OLEObject Type="Embed" ProgID="Equation.3" ShapeID="_x0000_i1035" DrawAspect="Content" ObjectID="_1597832914" r:id="rId21"/>
              </w:object>
            </w:r>
            <w:r w:rsidRPr="00D11479">
              <w:rPr>
                <w:rFonts w:ascii="Garamond" w:hAnsi="Garamond"/>
                <w:sz w:val="22"/>
                <w:szCs w:val="22"/>
              </w:rPr>
              <w:t xml:space="preserve">, </w:t>
            </w:r>
            <w:r w:rsidRPr="00D11479">
              <w:rPr>
                <w:rFonts w:ascii="Garamond" w:hAnsi="Garamond"/>
                <w:position w:val="-14"/>
                <w:sz w:val="22"/>
                <w:szCs w:val="22"/>
              </w:rPr>
              <w:object w:dxaOrig="1900" w:dyaOrig="400">
                <v:shape id="_x0000_i1036" type="#_x0000_t75" style="width:95.25pt;height:20.25pt" o:ole="">
                  <v:imagedata r:id="rId13" o:title=""/>
                </v:shape>
                <o:OLEObject Type="Embed" ProgID="Equation.3" ShapeID="_x0000_i1036" DrawAspect="Content" ObjectID="_1597832915" r:id="rId22"/>
              </w:object>
            </w:r>
            <w:r w:rsidRPr="00D11479">
              <w:rPr>
                <w:rFonts w:ascii="Garamond" w:hAnsi="Garamond"/>
                <w:sz w:val="22"/>
                <w:szCs w:val="22"/>
              </w:rPr>
              <w:t xml:space="preserve">, </w:t>
            </w:r>
            <w:r w:rsidRPr="00D11479">
              <w:rPr>
                <w:rFonts w:ascii="Garamond" w:hAnsi="Garamond"/>
                <w:position w:val="-14"/>
                <w:sz w:val="22"/>
                <w:szCs w:val="22"/>
              </w:rPr>
              <w:object w:dxaOrig="1780" w:dyaOrig="400">
                <v:shape id="_x0000_i1037" type="#_x0000_t75" style="width:89.25pt;height:20.25pt" o:ole="">
                  <v:imagedata r:id="rId15" o:title=""/>
                </v:shape>
                <o:OLEObject Type="Embed" ProgID="Equation.3" ShapeID="_x0000_i1037" DrawAspect="Content" ObjectID="_1597832916" r:id="rId23"/>
              </w:object>
            </w:r>
            <w:r w:rsidRPr="00D11479">
              <w:rPr>
                <w:rFonts w:ascii="Garamond" w:hAnsi="Garamond"/>
                <w:sz w:val="22"/>
                <w:szCs w:val="22"/>
              </w:rPr>
              <w:t xml:space="preserve">, на основе предварительно распределенного объема, направленного на рассмотрение Наблюдательным советом Совета рынка как штрафуемого объема в отношении генерирующего объекта </w:t>
            </w:r>
            <w:r w:rsidRPr="00D11479">
              <w:rPr>
                <w:rFonts w:ascii="Garamond" w:hAnsi="Garamond"/>
                <w:i/>
                <w:sz w:val="22"/>
                <w:szCs w:val="22"/>
              </w:rPr>
              <w:t>g</w:t>
            </w:r>
            <w:r w:rsidRPr="00D11479">
              <w:rPr>
                <w:rFonts w:ascii="Garamond" w:hAnsi="Garamond"/>
                <w:sz w:val="22"/>
                <w:szCs w:val="22"/>
              </w:rPr>
              <w:t xml:space="preserve"> за расчетный месяц </w:t>
            </w:r>
            <w:r w:rsidRPr="00D11479">
              <w:rPr>
                <w:rFonts w:ascii="Garamond" w:hAnsi="Garamond"/>
                <w:i/>
                <w:sz w:val="22"/>
                <w:szCs w:val="22"/>
              </w:rPr>
              <w:t>m</w:t>
            </w:r>
            <w:r w:rsidRPr="00D11479">
              <w:rPr>
                <w:rFonts w:ascii="Garamond" w:hAnsi="Garamond"/>
                <w:sz w:val="22"/>
                <w:szCs w:val="22"/>
              </w:rPr>
              <w:t xml:space="preserve">, определенного в порядке, установленном </w:t>
            </w:r>
            <w:r w:rsidRPr="00D11479">
              <w:rPr>
                <w:rFonts w:ascii="Garamond" w:hAnsi="Garamond"/>
                <w:i/>
                <w:sz w:val="22"/>
                <w:szCs w:val="22"/>
              </w:rPr>
              <w:t>Регламентом определения объемов мощности, продаваемой по договорам о предоставлении мощности</w:t>
            </w:r>
            <w:r w:rsidRPr="00D11479">
              <w:rPr>
                <w:rFonts w:ascii="Garamond" w:hAnsi="Garamond"/>
                <w:sz w:val="22"/>
                <w:szCs w:val="22"/>
              </w:rPr>
              <w:t xml:space="preserve"> (Приложение № 6.7 к </w:t>
            </w:r>
            <w:r w:rsidRPr="00D11479">
              <w:rPr>
                <w:rFonts w:ascii="Garamond" w:hAnsi="Garamond"/>
                <w:i/>
                <w:sz w:val="22"/>
                <w:szCs w:val="22"/>
              </w:rPr>
              <w:t>Договору о присоединении к торговой системе оптового рынка</w:t>
            </w:r>
            <w:r w:rsidRPr="00D11479">
              <w:rPr>
                <w:rFonts w:ascii="Garamond" w:hAnsi="Garamond"/>
                <w:sz w:val="22"/>
                <w:szCs w:val="22"/>
              </w:rPr>
              <w:t>).</w:t>
            </w:r>
          </w:p>
          <w:p w:rsidR="00086916" w:rsidRPr="00D11479" w:rsidRDefault="00086916" w:rsidP="006B1350">
            <w:pPr>
              <w:spacing w:before="120" w:after="120"/>
              <w:ind w:firstLine="540"/>
              <w:jc w:val="both"/>
              <w:rPr>
                <w:rFonts w:ascii="Garamond" w:hAnsi="Garamond"/>
                <w:sz w:val="22"/>
                <w:szCs w:val="22"/>
              </w:rPr>
            </w:pPr>
            <w:r w:rsidRPr="00D11479">
              <w:rPr>
                <w:rFonts w:ascii="Garamond" w:hAnsi="Garamond" w:cs="Arial"/>
                <w:sz w:val="22"/>
                <w:szCs w:val="22"/>
              </w:rPr>
              <w:t xml:space="preserve">В случае если </w:t>
            </w:r>
            <w:r w:rsidRPr="00D11479">
              <w:rPr>
                <w:rFonts w:ascii="Garamond" w:hAnsi="Garamond"/>
                <w:sz w:val="22"/>
                <w:szCs w:val="22"/>
              </w:rPr>
              <w:t xml:space="preserve">Наблюдательным советом Совета рынка было принято решение о согласии с применением к участнику оптового рынка </w:t>
            </w:r>
            <w:r w:rsidRPr="00D11479">
              <w:rPr>
                <w:rFonts w:ascii="Garamond" w:hAnsi="Garamond"/>
                <w:i/>
                <w:sz w:val="22"/>
                <w:szCs w:val="22"/>
                <w:lang w:val="en-US"/>
              </w:rPr>
              <w:t>i</w:t>
            </w:r>
            <w:r w:rsidRPr="00D11479">
              <w:rPr>
                <w:rFonts w:ascii="Garamond" w:hAnsi="Garamond"/>
                <w:sz w:val="22"/>
                <w:szCs w:val="22"/>
              </w:rPr>
              <w:t xml:space="preserve"> – продавцу по ДПМ предусмотренного пунктом 14.5 ДПМ (Приложения № Д 16, Д 16.1 к </w:t>
            </w:r>
            <w:r w:rsidRPr="00D11479">
              <w:rPr>
                <w:rFonts w:ascii="Garamond" w:hAnsi="Garamond"/>
                <w:i/>
                <w:sz w:val="22"/>
                <w:szCs w:val="22"/>
              </w:rPr>
              <w:t>Договору о присоединении к торговой системе оптового рынка</w:t>
            </w:r>
            <w:r w:rsidRPr="00D11479">
              <w:rPr>
                <w:rFonts w:ascii="Garamond" w:hAnsi="Garamond"/>
                <w:sz w:val="22"/>
                <w:szCs w:val="22"/>
              </w:rPr>
              <w:t>) порядка взыскания неустойки</w:t>
            </w:r>
            <w:r w:rsidRPr="00D11479" w:rsidDel="0040302B">
              <w:rPr>
                <w:rFonts w:ascii="Garamond" w:hAnsi="Garamond"/>
                <w:sz w:val="22"/>
                <w:szCs w:val="22"/>
              </w:rPr>
              <w:t xml:space="preserve"> </w:t>
            </w:r>
            <w:r w:rsidRPr="00D11479">
              <w:rPr>
                <w:rFonts w:ascii="Garamond" w:hAnsi="Garamond"/>
                <w:sz w:val="22"/>
                <w:szCs w:val="22"/>
              </w:rPr>
              <w:t xml:space="preserve">за просрочку даты начала исполнения обязательств по поставке мощности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и расчетный месяц </w:t>
            </w:r>
            <w:r w:rsidRPr="00D11479">
              <w:rPr>
                <w:rFonts w:ascii="Garamond" w:hAnsi="Garamond"/>
                <w:i/>
                <w:sz w:val="22"/>
                <w:szCs w:val="22"/>
              </w:rPr>
              <w:t>m</w:t>
            </w:r>
            <w:r w:rsidRPr="00D11479">
              <w:rPr>
                <w:rFonts w:ascii="Garamond" w:hAnsi="Garamond"/>
                <w:sz w:val="22"/>
                <w:szCs w:val="22"/>
              </w:rPr>
              <w:t xml:space="preserve"> относится к периоду, начиная с месяца, в котором принято вышеуказанное решение Наблюдательного совета Совета рынка, и по 33-й месяц (включительно) просрочки даты начала исполнения обязательства по поставке мощности такого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то КО не производит предварительное формирование величины штрафов участника оптового рынка </w:t>
            </w:r>
            <w:r w:rsidRPr="00D11479">
              <w:rPr>
                <w:rFonts w:ascii="Garamond" w:hAnsi="Garamond"/>
                <w:i/>
                <w:sz w:val="22"/>
                <w:szCs w:val="22"/>
                <w:lang w:val="en-US"/>
              </w:rPr>
              <w:t>i</w:t>
            </w:r>
            <w:r w:rsidRPr="00D11479">
              <w:rPr>
                <w:rFonts w:ascii="Garamond" w:hAnsi="Garamond"/>
                <w:sz w:val="22"/>
                <w:szCs w:val="22"/>
              </w:rPr>
              <w:t xml:space="preserve"> – продавца по ДПМ в отношении генерирующего объекта </w:t>
            </w:r>
            <w:r w:rsidRPr="00D11479">
              <w:rPr>
                <w:rFonts w:ascii="Garamond" w:hAnsi="Garamond"/>
                <w:i/>
                <w:sz w:val="22"/>
                <w:szCs w:val="22"/>
              </w:rPr>
              <w:t xml:space="preserve">g </w:t>
            </w:r>
            <w:r w:rsidRPr="00D11479">
              <w:rPr>
                <w:rFonts w:ascii="Garamond" w:hAnsi="Garamond"/>
                <w:sz w:val="22"/>
                <w:szCs w:val="22"/>
              </w:rPr>
              <w:t xml:space="preserve">за просрочку даты начала исполнения обязательств по поставке мощности генерирующего объекта </w:t>
            </w:r>
            <w:r w:rsidRPr="00D11479">
              <w:rPr>
                <w:rFonts w:ascii="Garamond" w:hAnsi="Garamond"/>
                <w:i/>
                <w:sz w:val="22"/>
                <w:szCs w:val="22"/>
                <w:lang w:val="en-US"/>
              </w:rPr>
              <w:t>g</w:t>
            </w:r>
            <w:r w:rsidRPr="00D11479">
              <w:rPr>
                <w:rFonts w:ascii="Garamond" w:hAnsi="Garamond"/>
                <w:sz w:val="22"/>
                <w:szCs w:val="22"/>
              </w:rPr>
              <w:t xml:space="preserve"> в расчетном месяце </w:t>
            </w:r>
            <w:r w:rsidRPr="00D11479">
              <w:rPr>
                <w:rFonts w:ascii="Garamond" w:hAnsi="Garamond"/>
                <w:i/>
                <w:sz w:val="22"/>
                <w:szCs w:val="22"/>
                <w:lang w:val="en-US"/>
              </w:rPr>
              <w:t>m</w:t>
            </w:r>
            <w:r w:rsidRPr="00D11479">
              <w:rPr>
                <w:rFonts w:ascii="Garamond" w:hAnsi="Garamond"/>
                <w:sz w:val="22"/>
                <w:szCs w:val="22"/>
              </w:rPr>
              <w:t xml:space="preserve"> </w:t>
            </w:r>
            <w:r w:rsidRPr="00D11479">
              <w:rPr>
                <w:rFonts w:ascii="Garamond" w:hAnsi="Garamond"/>
                <w:position w:val="-14"/>
                <w:sz w:val="22"/>
                <w:szCs w:val="22"/>
              </w:rPr>
              <w:object w:dxaOrig="2160" w:dyaOrig="400">
                <v:shape id="_x0000_i1038" type="#_x0000_t75" style="width:108pt;height:20.25pt" o:ole="">
                  <v:imagedata r:id="rId5" o:title=""/>
                </v:shape>
                <o:OLEObject Type="Embed" ProgID="Equation.3" ShapeID="_x0000_i1038" DrawAspect="Content" ObjectID="_1597832917" r:id="rId24"/>
              </w:object>
            </w:r>
            <w:r w:rsidRPr="00D11479">
              <w:rPr>
                <w:rFonts w:ascii="Garamond" w:hAnsi="Garamond"/>
                <w:sz w:val="22"/>
                <w:szCs w:val="22"/>
              </w:rPr>
              <w:t>.</w:t>
            </w:r>
          </w:p>
          <w:p w:rsidR="00086916" w:rsidRPr="00D11479" w:rsidRDefault="00086916" w:rsidP="006B1350">
            <w:pPr>
              <w:jc w:val="both"/>
              <w:rPr>
                <w:rFonts w:ascii="Garamond" w:hAnsi="Garamond"/>
                <w:b/>
                <w:bCs/>
                <w:sz w:val="22"/>
                <w:szCs w:val="22"/>
              </w:rPr>
            </w:pPr>
          </w:p>
        </w:tc>
      </w:tr>
    </w:tbl>
    <w:p w:rsidR="00086916" w:rsidRDefault="00086916" w:rsidP="006F19E1">
      <w:pPr>
        <w:jc w:val="both"/>
        <w:rPr>
          <w:rFonts w:ascii="Garamond" w:hAnsi="Garamond" w:cs="Garamond"/>
          <w:b/>
          <w:bCs/>
          <w:sz w:val="26"/>
          <w:szCs w:val="26"/>
        </w:rPr>
      </w:pPr>
    </w:p>
    <w:p w:rsidR="00086916" w:rsidRDefault="00086916" w:rsidP="00D11479">
      <w:pPr>
        <w:rPr>
          <w:rFonts w:ascii="Garamond" w:hAnsi="Garamond" w:cs="Garamond"/>
          <w:b/>
          <w:bCs/>
          <w:sz w:val="26"/>
          <w:szCs w:val="26"/>
        </w:rPr>
      </w:pPr>
      <w:r w:rsidRPr="00021929">
        <w:rPr>
          <w:rFonts w:ascii="Garamond" w:hAnsi="Garamond" w:cs="Garamond"/>
          <w:b/>
          <w:bCs/>
          <w:sz w:val="26"/>
          <w:szCs w:val="26"/>
        </w:rPr>
        <w:t xml:space="preserve">Предложения по изменениям и дополнениям в </w:t>
      </w:r>
      <w:r w:rsidRPr="00021929">
        <w:rPr>
          <w:rFonts w:ascii="Garamond" w:hAnsi="Garamond" w:cs="Garamond"/>
          <w:b/>
          <w:bCs/>
          <w:caps/>
          <w:sz w:val="26"/>
          <w:szCs w:val="26"/>
        </w:rPr>
        <w:t xml:space="preserve">РЕГЛАМЕНТ </w:t>
      </w:r>
      <w:r>
        <w:rPr>
          <w:rFonts w:ascii="Garamond" w:hAnsi="Garamond" w:cs="Garamond"/>
          <w:b/>
          <w:bCs/>
          <w:caps/>
          <w:sz w:val="26"/>
          <w:szCs w:val="26"/>
        </w:rPr>
        <w:t>ОПРЕДЕЛЕНИЯ ОБЪЕМОВ МОЩНОСТИ, ПРОДАВАЕМОЙ ПО ДОГОВОРАМ О ПРЕДОСТАВЛЕНИИ МОЩНОСТИ</w:t>
      </w:r>
      <w:r w:rsidRPr="00021929">
        <w:rPr>
          <w:rFonts w:ascii="Garamond" w:hAnsi="Garamond" w:cs="Garamond"/>
          <w:b/>
          <w:bCs/>
          <w:sz w:val="26"/>
          <w:szCs w:val="26"/>
        </w:rPr>
        <w:t xml:space="preserve"> (Приложение № </w:t>
      </w:r>
      <w:r>
        <w:rPr>
          <w:rFonts w:ascii="Garamond" w:hAnsi="Garamond" w:cs="Garamond"/>
          <w:b/>
          <w:bCs/>
          <w:sz w:val="26"/>
          <w:szCs w:val="26"/>
        </w:rPr>
        <w:t>6.</w:t>
      </w:r>
      <w:r w:rsidRPr="00AE5F46">
        <w:rPr>
          <w:rFonts w:ascii="Garamond" w:hAnsi="Garamond" w:cs="Garamond"/>
          <w:b/>
          <w:bCs/>
          <w:sz w:val="26"/>
          <w:szCs w:val="26"/>
        </w:rPr>
        <w:t>7</w:t>
      </w:r>
      <w:r w:rsidRPr="00021929">
        <w:rPr>
          <w:rFonts w:ascii="Garamond" w:hAnsi="Garamond" w:cs="Garamond"/>
          <w:b/>
          <w:bCs/>
          <w:sz w:val="26"/>
          <w:szCs w:val="26"/>
        </w:rPr>
        <w:t xml:space="preserve"> к Договору о присоединении к торговой системе оптового рынка)</w:t>
      </w:r>
    </w:p>
    <w:p w:rsidR="00086916" w:rsidRDefault="00086916" w:rsidP="006F19E1">
      <w:pPr>
        <w:jc w:val="both"/>
        <w:rPr>
          <w:rFonts w:ascii="Garamond" w:hAnsi="Garamond" w:cs="Garamond"/>
          <w:b/>
          <w:bCs/>
          <w:sz w:val="26"/>
          <w:szCs w:val="2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662"/>
        <w:gridCol w:w="7087"/>
      </w:tblGrid>
      <w:tr w:rsidR="00086916" w:rsidRPr="00D11479" w:rsidTr="006B1350">
        <w:trPr>
          <w:trHeight w:val="435"/>
        </w:trPr>
        <w:tc>
          <w:tcPr>
            <w:tcW w:w="993" w:type="dxa"/>
            <w:vAlign w:val="center"/>
          </w:tcPr>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w:t>
            </w:r>
          </w:p>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пункта</w:t>
            </w:r>
          </w:p>
        </w:tc>
        <w:tc>
          <w:tcPr>
            <w:tcW w:w="6662" w:type="dxa"/>
            <w:vAlign w:val="center"/>
          </w:tcPr>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 xml:space="preserve">Редакция, действующая на момент </w:t>
            </w:r>
          </w:p>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вступления в силу изменений</w:t>
            </w:r>
          </w:p>
        </w:tc>
        <w:tc>
          <w:tcPr>
            <w:tcW w:w="7087" w:type="dxa"/>
            <w:vAlign w:val="center"/>
          </w:tcPr>
          <w:p w:rsidR="00086916" w:rsidRPr="00D11479" w:rsidRDefault="00086916" w:rsidP="006B1350">
            <w:pPr>
              <w:jc w:val="center"/>
              <w:rPr>
                <w:rFonts w:ascii="Garamond" w:hAnsi="Garamond"/>
                <w:b/>
                <w:bCs/>
                <w:sz w:val="22"/>
                <w:szCs w:val="22"/>
              </w:rPr>
            </w:pPr>
            <w:r w:rsidRPr="00D11479">
              <w:rPr>
                <w:rFonts w:ascii="Garamond" w:hAnsi="Garamond"/>
                <w:b/>
                <w:bCs/>
                <w:sz w:val="22"/>
                <w:szCs w:val="22"/>
              </w:rPr>
              <w:t>Предлагаемая редакция</w:t>
            </w:r>
          </w:p>
          <w:p w:rsidR="00086916" w:rsidRPr="00D11479" w:rsidRDefault="00086916" w:rsidP="006B1350">
            <w:pPr>
              <w:jc w:val="center"/>
              <w:rPr>
                <w:rFonts w:ascii="Garamond" w:hAnsi="Garamond"/>
                <w:sz w:val="22"/>
                <w:szCs w:val="22"/>
              </w:rPr>
            </w:pPr>
            <w:r w:rsidRPr="00D11479">
              <w:rPr>
                <w:rFonts w:ascii="Garamond" w:hAnsi="Garamond"/>
                <w:sz w:val="22"/>
                <w:szCs w:val="22"/>
              </w:rPr>
              <w:t>(изменения выделены цветом)</w:t>
            </w:r>
          </w:p>
        </w:tc>
      </w:tr>
      <w:tr w:rsidR="00086916" w:rsidRPr="00D11479" w:rsidTr="006B1350">
        <w:trPr>
          <w:trHeight w:val="435"/>
        </w:trPr>
        <w:tc>
          <w:tcPr>
            <w:tcW w:w="993" w:type="dxa"/>
            <w:vAlign w:val="center"/>
          </w:tcPr>
          <w:p w:rsidR="00086916" w:rsidRPr="00D11479" w:rsidRDefault="00086916" w:rsidP="006B1350">
            <w:pPr>
              <w:jc w:val="both"/>
              <w:rPr>
                <w:rFonts w:ascii="Garamond" w:hAnsi="Garamond"/>
                <w:b/>
                <w:bCs/>
                <w:sz w:val="22"/>
                <w:szCs w:val="22"/>
              </w:rPr>
            </w:pPr>
            <w:r w:rsidRPr="00D11479">
              <w:rPr>
                <w:rFonts w:ascii="Garamond" w:hAnsi="Garamond"/>
                <w:b/>
                <w:bCs/>
                <w:sz w:val="22"/>
                <w:szCs w:val="22"/>
              </w:rPr>
              <w:t>7.5.7</w:t>
            </w:r>
          </w:p>
        </w:tc>
        <w:tc>
          <w:tcPr>
            <w:tcW w:w="6662" w:type="dxa"/>
            <w:vAlign w:val="center"/>
          </w:tcPr>
          <w:p w:rsidR="00086916" w:rsidRPr="00D11479" w:rsidRDefault="00086916" w:rsidP="006B1350">
            <w:pPr>
              <w:pStyle w:val="Heading3"/>
              <w:widowControl w:val="0"/>
              <w:numPr>
                <w:ilvl w:val="0"/>
                <w:numId w:val="0"/>
              </w:numPr>
              <w:spacing w:line="240" w:lineRule="auto"/>
              <w:ind w:left="33"/>
              <w:rPr>
                <w:rFonts w:ascii="Garamond" w:hAnsi="Garamond"/>
                <w:szCs w:val="22"/>
              </w:rPr>
            </w:pPr>
            <w:r w:rsidRPr="00D11479">
              <w:rPr>
                <w:rFonts w:ascii="Garamond" w:hAnsi="Garamond"/>
                <w:szCs w:val="22"/>
              </w:rPr>
              <w:t>Предварительное распределение объемов не поставленной (недопоставленной) по ДПМ мощности</w:t>
            </w:r>
          </w:p>
          <w:p w:rsidR="00086916" w:rsidRPr="00D11479" w:rsidRDefault="00086916" w:rsidP="006B1350">
            <w:pPr>
              <w:spacing w:before="120" w:after="120"/>
              <w:ind w:firstLine="540"/>
              <w:jc w:val="both"/>
              <w:rPr>
                <w:rFonts w:ascii="Garamond" w:hAnsi="Garamond"/>
                <w:sz w:val="22"/>
                <w:szCs w:val="22"/>
              </w:rPr>
            </w:pPr>
            <w:r w:rsidRPr="00D11479">
              <w:rPr>
                <w:rFonts w:ascii="Garamond" w:hAnsi="Garamond"/>
                <w:sz w:val="22"/>
                <w:szCs w:val="22"/>
              </w:rPr>
              <w:t xml:space="preserve">В случае если в повестку Наблюдательного совета Совета рынка был включен вопрос об установлении факта неисполнения (ненадлежащего исполнения) продавцом обязательств по ДПМ и (или) наличия оснований для расчета и списания штрафа в отношении генерирующего объекта g за расчетный месяц m, но Наблюдательным советом Совета рынка не принято решение об установлении факта неисполнения (ненадлежащего исполнения) продавцом обязательств по ДПМ и (или) наличия оснований для расчета и списания штрафа (либо соответствующий вопрос не рассматривался и (или) его рассмотрение было перенесено, либо был установлен факт неисполнения (ненадлежащего исполнения) продавцом обязательств, но было принято решение не проводить расчет штрафа </w:t>
            </w:r>
            <w:r w:rsidRPr="00D11479">
              <w:rPr>
                <w:rFonts w:ascii="Garamond" w:hAnsi="Garamond"/>
                <w:sz w:val="22"/>
                <w:szCs w:val="22"/>
                <w:highlight w:val="yellow"/>
              </w:rPr>
              <w:t>до принятия Наблюдательным советом Совета рынка соответствующего решения об их расчете в случаях и порядке, указанных в данном решении</w:t>
            </w:r>
            <w:r w:rsidRPr="00D11479">
              <w:rPr>
                <w:rFonts w:ascii="Garamond" w:hAnsi="Garamond"/>
                <w:sz w:val="22"/>
                <w:szCs w:val="22"/>
              </w:rPr>
              <w:t xml:space="preserve">), либо было принято решение об установлении наличия оснований для расчета и списания штрафа в отношении генерирующего объекта g за расчетный месяц m, при этом в решении указан месяц проведения расчета штрафа за расчетный месяц m позднее месяца m+1, КО производит предварительное распределение объема, направленного на рассмотрение Наблюдательным советом Совета рынка как штрафуемого объема в отношении генерирующего объекта g за расчетный месяц m, на покупателей ценовой зоны в расчетном месяце m. </w:t>
            </w:r>
          </w:p>
          <w:p w:rsidR="00086916" w:rsidRPr="00D11479" w:rsidRDefault="00086916" w:rsidP="00943CC2">
            <w:pPr>
              <w:spacing w:before="120" w:after="120"/>
              <w:jc w:val="both"/>
              <w:rPr>
                <w:rFonts w:ascii="Garamond" w:hAnsi="Garamond"/>
                <w:sz w:val="22"/>
                <w:szCs w:val="22"/>
              </w:rPr>
            </w:pPr>
            <w:r w:rsidRPr="00D11479">
              <w:rPr>
                <w:rFonts w:ascii="Garamond" w:hAnsi="Garamond"/>
                <w:sz w:val="22"/>
                <w:szCs w:val="22"/>
              </w:rPr>
              <w:t>…</w:t>
            </w:r>
          </w:p>
        </w:tc>
        <w:tc>
          <w:tcPr>
            <w:tcW w:w="7087" w:type="dxa"/>
            <w:vAlign w:val="center"/>
          </w:tcPr>
          <w:p w:rsidR="00086916" w:rsidRPr="00D11479" w:rsidRDefault="00086916" w:rsidP="006B1350">
            <w:pPr>
              <w:pStyle w:val="Heading3"/>
              <w:widowControl w:val="0"/>
              <w:numPr>
                <w:ilvl w:val="0"/>
                <w:numId w:val="0"/>
              </w:numPr>
              <w:spacing w:line="240" w:lineRule="auto"/>
              <w:ind w:left="33"/>
              <w:rPr>
                <w:rFonts w:ascii="Garamond" w:hAnsi="Garamond"/>
                <w:szCs w:val="22"/>
              </w:rPr>
            </w:pPr>
            <w:r w:rsidRPr="00D11479">
              <w:rPr>
                <w:rFonts w:ascii="Garamond" w:hAnsi="Garamond"/>
                <w:szCs w:val="22"/>
              </w:rPr>
              <w:t>Предварительное распределение объемов не поставленной (недопоставленной) по ДПМ мощности</w:t>
            </w:r>
          </w:p>
          <w:p w:rsidR="00086916" w:rsidRPr="00D11479" w:rsidRDefault="00086916" w:rsidP="006B1350">
            <w:pPr>
              <w:spacing w:before="120" w:after="120"/>
              <w:ind w:firstLine="540"/>
              <w:jc w:val="both"/>
              <w:rPr>
                <w:rFonts w:ascii="Garamond" w:hAnsi="Garamond"/>
                <w:sz w:val="22"/>
                <w:szCs w:val="22"/>
              </w:rPr>
            </w:pPr>
            <w:r w:rsidRPr="00D11479">
              <w:rPr>
                <w:rFonts w:ascii="Garamond" w:hAnsi="Garamond"/>
                <w:sz w:val="22"/>
                <w:szCs w:val="22"/>
              </w:rPr>
              <w:t xml:space="preserve">В случае если в повестку Наблюдательного совета Совета рынка был включен вопрос об установлении факта неисполнения (ненадлежащего исполнения) продавцом обязательств по ДПМ и (или) наличия оснований для расчета и списания штрафа в отношении генерирующего объекта g за расчетный месяц m, но Наблюдательным советом Совета рынка не принято решение об установлении факта неисполнения (ненадлежащего исполнения) продавцом обязательств по ДПМ и (или) наличия оснований для расчета и списания штрафа (либо соответствующий вопрос не рассматривался и (или) его рассмотрение было перенесено, либо был установлен факт неисполнения (ненадлежащего исполнения) продавцом обязательств, но было принято решение не проводить расчет штрафа), либо было принято решение об установлении наличия оснований для расчета и списания штрафа в отношении генерирующего объекта g за расчетный месяц m, при этом в решении указан месяц проведения расчета штрафа за расчетный месяц m позднее месяца m+1, КО производит предварительное распределение объема, направленного на рассмотрение Наблюдательным советом Совета рынка как штрафуемого объема в отношении генерирующего объекта g за расчетный месяц m, на покупателей ценовой зоны в расчетном месяце m. </w:t>
            </w:r>
          </w:p>
          <w:p w:rsidR="00086916" w:rsidRPr="00D11479" w:rsidRDefault="00086916" w:rsidP="00943CC2">
            <w:pPr>
              <w:spacing w:before="120" w:after="120"/>
              <w:jc w:val="both"/>
              <w:rPr>
                <w:rFonts w:ascii="Garamond" w:hAnsi="Garamond"/>
                <w:sz w:val="22"/>
                <w:szCs w:val="22"/>
              </w:rPr>
            </w:pPr>
            <w:r w:rsidRPr="00D11479">
              <w:rPr>
                <w:rFonts w:ascii="Garamond" w:hAnsi="Garamond"/>
                <w:sz w:val="22"/>
                <w:szCs w:val="22"/>
              </w:rPr>
              <w:t>…</w:t>
            </w:r>
          </w:p>
        </w:tc>
      </w:tr>
    </w:tbl>
    <w:p w:rsidR="00086916" w:rsidRPr="00C60FFE" w:rsidRDefault="00086916" w:rsidP="008A782F">
      <w:pPr>
        <w:shd w:val="clear" w:color="auto" w:fill="FFFFFF"/>
        <w:jc w:val="both"/>
        <w:rPr>
          <w:rFonts w:ascii="Arial" w:hAnsi="Arial" w:cs="Arial"/>
          <w:b/>
          <w:color w:val="000000"/>
        </w:rPr>
      </w:pPr>
    </w:p>
    <w:sectPr w:rsidR="00086916" w:rsidRPr="00C60FFE" w:rsidSect="008A782F">
      <w:pgSz w:w="16838" w:h="11906" w:orient="landscape"/>
      <w:pgMar w:top="993" w:right="568" w:bottom="850"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onsultant">
    <w:altName w:val="Courier New"/>
    <w:panose1 w:val="00000000000000000000"/>
    <w:charset w:val="CC"/>
    <w:family w:val="modern"/>
    <w:notTrueType/>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65BE9"/>
    <w:multiLevelType w:val="hybridMultilevel"/>
    <w:tmpl w:val="4A02C6EA"/>
    <w:lvl w:ilvl="0" w:tplc="BA1400F0">
      <w:start w:val="1"/>
      <w:numFmt w:val="decimal"/>
      <w:lvlText w:val="%1."/>
      <w:lvlJc w:val="left"/>
      <w:pPr>
        <w:ind w:left="900" w:hanging="360"/>
      </w:pPr>
      <w:rPr>
        <w:rFonts w:cs="Times New Roman" w:hint="default"/>
        <w:b/>
        <w:i w:val="0"/>
        <w:sz w:val="22"/>
        <w:szCs w:val="22"/>
      </w:rPr>
    </w:lvl>
    <w:lvl w:ilvl="1" w:tplc="9FC84DD4">
      <w:start w:val="1"/>
      <w:numFmt w:val="decimal"/>
      <w:lvlText w:val="%2)"/>
      <w:lvlJc w:val="left"/>
      <w:pPr>
        <w:tabs>
          <w:tab w:val="num" w:pos="2085"/>
        </w:tabs>
        <w:ind w:left="2085" w:hanging="825"/>
      </w:pPr>
      <w:rPr>
        <w:rFonts w:cs="Times New Roman" w:hint="default"/>
      </w:rPr>
    </w:lvl>
    <w:lvl w:ilvl="2" w:tplc="04090001">
      <w:start w:val="1"/>
      <w:numFmt w:val="bullet"/>
      <w:lvlText w:val=""/>
      <w:lvlJc w:val="left"/>
      <w:pPr>
        <w:tabs>
          <w:tab w:val="num" w:pos="2520"/>
        </w:tabs>
        <w:ind w:left="2520" w:hanging="360"/>
      </w:pPr>
      <w:rPr>
        <w:rFonts w:ascii="Symbol" w:hAnsi="Symbol" w:hint="default"/>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1397DE5"/>
    <w:multiLevelType w:val="hybridMultilevel"/>
    <w:tmpl w:val="C97410AC"/>
    <w:lvl w:ilvl="0" w:tplc="4ECEA49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14DB3C85"/>
    <w:multiLevelType w:val="hybridMultilevel"/>
    <w:tmpl w:val="B9684E1E"/>
    <w:lvl w:ilvl="0" w:tplc="1896A2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2D20A73"/>
    <w:multiLevelType w:val="hybridMultilevel"/>
    <w:tmpl w:val="6EB0C6E8"/>
    <w:lvl w:ilvl="0" w:tplc="4EA0BB02">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4A17A3B"/>
    <w:multiLevelType w:val="multilevel"/>
    <w:tmpl w:val="FF2E3236"/>
    <w:lvl w:ilvl="0">
      <w:start w:val="1"/>
      <w:numFmt w:val="decimal"/>
      <w:lvlText w:val="%1."/>
      <w:lvlJc w:val="left"/>
      <w:pPr>
        <w:tabs>
          <w:tab w:val="num" w:pos="720"/>
        </w:tabs>
        <w:ind w:left="720" w:hanging="360"/>
      </w:pPr>
      <w:rPr>
        <w:rFonts w:ascii="Times New Roman" w:hAnsi="Times New Roman" w:cs="Times New Roman" w:hint="default"/>
        <w:b w:val="0"/>
        <w:i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291A72DB"/>
    <w:multiLevelType w:val="hybridMultilevel"/>
    <w:tmpl w:val="F76476C4"/>
    <w:lvl w:ilvl="0" w:tplc="ED00A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7D4B3C"/>
    <w:multiLevelType w:val="hybridMultilevel"/>
    <w:tmpl w:val="3EA464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C155A7A"/>
    <w:multiLevelType w:val="hybridMultilevel"/>
    <w:tmpl w:val="A7609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0604FF"/>
    <w:multiLevelType w:val="hybridMultilevel"/>
    <w:tmpl w:val="8E0289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1C3090D"/>
    <w:multiLevelType w:val="hybridMultilevel"/>
    <w:tmpl w:val="3272AA0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2058FD"/>
    <w:multiLevelType w:val="multilevel"/>
    <w:tmpl w:val="9996BEB8"/>
    <w:lvl w:ilvl="0">
      <w:start w:val="1"/>
      <w:numFmt w:val="decimal"/>
      <w:lvlText w:val="%1."/>
      <w:lvlJc w:val="left"/>
      <w:pPr>
        <w:tabs>
          <w:tab w:val="num" w:pos="720"/>
        </w:tabs>
        <w:ind w:left="720" w:hanging="360"/>
      </w:pPr>
      <w:rPr>
        <w:rFonts w:cs="Times New Roman"/>
        <w:b w:val="0"/>
        <w:i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4D073A2C"/>
    <w:multiLevelType w:val="hybridMultilevel"/>
    <w:tmpl w:val="0D3026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43F4EAC"/>
    <w:multiLevelType w:val="hybridMultilevel"/>
    <w:tmpl w:val="A0066E48"/>
    <w:lvl w:ilvl="0" w:tplc="ED00AC7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89A46B1"/>
    <w:multiLevelType w:val="hybridMultilevel"/>
    <w:tmpl w:val="23FCE198"/>
    <w:lvl w:ilvl="0" w:tplc="950C84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BE51AB9"/>
    <w:multiLevelType w:val="hybridMultilevel"/>
    <w:tmpl w:val="AD04DF0E"/>
    <w:lvl w:ilvl="0" w:tplc="C3A4F4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3601686"/>
    <w:multiLevelType w:val="hybridMultilevel"/>
    <w:tmpl w:val="8C7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68961AA"/>
    <w:multiLevelType w:val="hybridMultilevel"/>
    <w:tmpl w:val="000634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ED58F4"/>
    <w:multiLevelType w:val="hybridMultilevel"/>
    <w:tmpl w:val="FF5AC1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9C4554F"/>
    <w:multiLevelType w:val="hybridMultilevel"/>
    <w:tmpl w:val="23FCE198"/>
    <w:lvl w:ilvl="0" w:tplc="950C84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6D5470EC"/>
    <w:multiLevelType w:val="hybridMultilevel"/>
    <w:tmpl w:val="C24C51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3277440"/>
    <w:multiLevelType w:val="hybridMultilevel"/>
    <w:tmpl w:val="0E6A7D58"/>
    <w:lvl w:ilvl="0" w:tplc="FFFFFFFF">
      <w:start w:val="1"/>
      <w:numFmt w:val="bullet"/>
      <w:lvlText w:val=""/>
      <w:lvlJc w:val="left"/>
      <w:pPr>
        <w:tabs>
          <w:tab w:val="num" w:pos="784"/>
        </w:tabs>
        <w:ind w:left="784" w:hanging="360"/>
      </w:pPr>
      <w:rPr>
        <w:rFonts w:ascii="Symbol" w:hAnsi="Symbol" w:hint="default"/>
      </w:rPr>
    </w:lvl>
    <w:lvl w:ilvl="1" w:tplc="FFFFFFFF">
      <w:start w:val="1"/>
      <w:numFmt w:val="bullet"/>
      <w:pStyle w:val="Heading2"/>
      <w:lvlText w:val="o"/>
      <w:lvlJc w:val="left"/>
      <w:pPr>
        <w:tabs>
          <w:tab w:val="num" w:pos="1504"/>
        </w:tabs>
        <w:ind w:left="1504" w:hanging="360"/>
      </w:pPr>
      <w:rPr>
        <w:rFonts w:ascii="Courier New" w:hAnsi="Courier New" w:hint="default"/>
      </w:rPr>
    </w:lvl>
    <w:lvl w:ilvl="2" w:tplc="FFFFFFFF">
      <w:start w:val="1"/>
      <w:numFmt w:val="bullet"/>
      <w:pStyle w:val="Heading3"/>
      <w:lvlText w:val=""/>
      <w:lvlJc w:val="left"/>
      <w:pPr>
        <w:tabs>
          <w:tab w:val="num" w:pos="2224"/>
        </w:tabs>
        <w:ind w:left="2224" w:hanging="360"/>
      </w:pPr>
      <w:rPr>
        <w:rFonts w:ascii="Wingdings" w:hAnsi="Wingdings" w:hint="default"/>
      </w:rPr>
    </w:lvl>
    <w:lvl w:ilvl="3" w:tplc="FFFFFFFF">
      <w:start w:val="1"/>
      <w:numFmt w:val="bullet"/>
      <w:pStyle w:val="Heading4"/>
      <w:lvlText w:val=""/>
      <w:lvlJc w:val="left"/>
      <w:pPr>
        <w:tabs>
          <w:tab w:val="num" w:pos="360"/>
        </w:tabs>
        <w:ind w:left="360" w:hanging="360"/>
      </w:pPr>
      <w:rPr>
        <w:rFonts w:ascii="Symbol" w:hAnsi="Symbol" w:hint="default"/>
      </w:rPr>
    </w:lvl>
    <w:lvl w:ilvl="4" w:tplc="FFFFFFFF" w:tentative="1">
      <w:start w:val="1"/>
      <w:numFmt w:val="bullet"/>
      <w:pStyle w:val="Heading5"/>
      <w:lvlText w:val="o"/>
      <w:lvlJc w:val="left"/>
      <w:pPr>
        <w:tabs>
          <w:tab w:val="num" w:pos="3664"/>
        </w:tabs>
        <w:ind w:left="3664" w:hanging="360"/>
      </w:pPr>
      <w:rPr>
        <w:rFonts w:ascii="Courier New" w:hAnsi="Courier New" w:hint="default"/>
      </w:rPr>
    </w:lvl>
    <w:lvl w:ilvl="5" w:tplc="FFFFFFFF" w:tentative="1">
      <w:start w:val="1"/>
      <w:numFmt w:val="bullet"/>
      <w:pStyle w:val="Heading6"/>
      <w:lvlText w:val=""/>
      <w:lvlJc w:val="left"/>
      <w:pPr>
        <w:tabs>
          <w:tab w:val="num" w:pos="4384"/>
        </w:tabs>
        <w:ind w:left="4384" w:hanging="360"/>
      </w:pPr>
      <w:rPr>
        <w:rFonts w:ascii="Wingdings" w:hAnsi="Wingdings" w:hint="default"/>
      </w:rPr>
    </w:lvl>
    <w:lvl w:ilvl="6" w:tplc="FFFFFFFF" w:tentative="1">
      <w:start w:val="1"/>
      <w:numFmt w:val="bullet"/>
      <w:pStyle w:val="Heading7"/>
      <w:lvlText w:val=""/>
      <w:lvlJc w:val="left"/>
      <w:pPr>
        <w:tabs>
          <w:tab w:val="num" w:pos="5104"/>
        </w:tabs>
        <w:ind w:left="5104" w:hanging="360"/>
      </w:pPr>
      <w:rPr>
        <w:rFonts w:ascii="Symbol" w:hAnsi="Symbol" w:hint="default"/>
      </w:rPr>
    </w:lvl>
    <w:lvl w:ilvl="7" w:tplc="FFFFFFFF" w:tentative="1">
      <w:start w:val="1"/>
      <w:numFmt w:val="bullet"/>
      <w:pStyle w:val="Heading8"/>
      <w:lvlText w:val="o"/>
      <w:lvlJc w:val="left"/>
      <w:pPr>
        <w:tabs>
          <w:tab w:val="num" w:pos="5824"/>
        </w:tabs>
        <w:ind w:left="5824" w:hanging="360"/>
      </w:pPr>
      <w:rPr>
        <w:rFonts w:ascii="Courier New" w:hAnsi="Courier New" w:hint="default"/>
      </w:rPr>
    </w:lvl>
    <w:lvl w:ilvl="8" w:tplc="FFFFFFFF" w:tentative="1">
      <w:start w:val="1"/>
      <w:numFmt w:val="bullet"/>
      <w:pStyle w:val="Heading9"/>
      <w:lvlText w:val=""/>
      <w:lvlJc w:val="left"/>
      <w:pPr>
        <w:tabs>
          <w:tab w:val="num" w:pos="6544"/>
        </w:tabs>
        <w:ind w:left="6544" w:hanging="360"/>
      </w:pPr>
      <w:rPr>
        <w:rFonts w:ascii="Wingdings" w:hAnsi="Wingdings" w:hint="default"/>
      </w:rPr>
    </w:lvl>
  </w:abstractNum>
  <w:abstractNum w:abstractNumId="21">
    <w:nsid w:val="7C121D8B"/>
    <w:multiLevelType w:val="hybridMultilevel"/>
    <w:tmpl w:val="0D3026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6"/>
  </w:num>
  <w:num w:numId="4">
    <w:abstractNumId w:val="3"/>
  </w:num>
  <w:num w:numId="5">
    <w:abstractNumId w:val="13"/>
  </w:num>
  <w:num w:numId="6">
    <w:abstractNumId w:val="10"/>
  </w:num>
  <w:num w:numId="7">
    <w:abstractNumId w:val="18"/>
  </w:num>
  <w:num w:numId="8">
    <w:abstractNumId w:val="19"/>
  </w:num>
  <w:num w:numId="9">
    <w:abstractNumId w:val="17"/>
  </w:num>
  <w:num w:numId="10">
    <w:abstractNumId w:val="4"/>
  </w:num>
  <w:num w:numId="11">
    <w:abstractNumId w:val="5"/>
  </w:num>
  <w:num w:numId="12">
    <w:abstractNumId w:val="16"/>
  </w:num>
  <w:num w:numId="13">
    <w:abstractNumId w:val="9"/>
  </w:num>
  <w:num w:numId="14">
    <w:abstractNumId w:val="8"/>
  </w:num>
  <w:num w:numId="15">
    <w:abstractNumId w:val="7"/>
  </w:num>
  <w:num w:numId="16">
    <w:abstractNumId w:val="11"/>
  </w:num>
  <w:num w:numId="17">
    <w:abstractNumId w:val="15"/>
  </w:num>
  <w:num w:numId="18">
    <w:abstractNumId w:val="12"/>
  </w:num>
  <w:num w:numId="19">
    <w:abstractNumId w:val="21"/>
  </w:num>
  <w:num w:numId="20">
    <w:abstractNumId w:val="14"/>
  </w:num>
  <w:num w:numId="21">
    <w:abstractNumId w:val="0"/>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5D4C"/>
    <w:rsid w:val="00000171"/>
    <w:rsid w:val="00004730"/>
    <w:rsid w:val="00006BA3"/>
    <w:rsid w:val="00011BCC"/>
    <w:rsid w:val="00013095"/>
    <w:rsid w:val="000166F1"/>
    <w:rsid w:val="00021929"/>
    <w:rsid w:val="00027CC8"/>
    <w:rsid w:val="00033C3E"/>
    <w:rsid w:val="000423AE"/>
    <w:rsid w:val="00043EF2"/>
    <w:rsid w:val="00053AB0"/>
    <w:rsid w:val="00054785"/>
    <w:rsid w:val="000611C9"/>
    <w:rsid w:val="000619BF"/>
    <w:rsid w:val="00080D7C"/>
    <w:rsid w:val="000836CE"/>
    <w:rsid w:val="00086916"/>
    <w:rsid w:val="0009307C"/>
    <w:rsid w:val="00094CBE"/>
    <w:rsid w:val="000A0BFA"/>
    <w:rsid w:val="000A421C"/>
    <w:rsid w:val="000A59FD"/>
    <w:rsid w:val="000B31AB"/>
    <w:rsid w:val="000B4906"/>
    <w:rsid w:val="000C1880"/>
    <w:rsid w:val="000C349B"/>
    <w:rsid w:val="000E1F11"/>
    <w:rsid w:val="000E506B"/>
    <w:rsid w:val="000F4653"/>
    <w:rsid w:val="000F568D"/>
    <w:rsid w:val="00116B6D"/>
    <w:rsid w:val="001245BE"/>
    <w:rsid w:val="00125D4C"/>
    <w:rsid w:val="001273E9"/>
    <w:rsid w:val="00127B3C"/>
    <w:rsid w:val="001314B9"/>
    <w:rsid w:val="00134E61"/>
    <w:rsid w:val="00165AF3"/>
    <w:rsid w:val="001740B1"/>
    <w:rsid w:val="0017680E"/>
    <w:rsid w:val="00180481"/>
    <w:rsid w:val="001831C3"/>
    <w:rsid w:val="001832EA"/>
    <w:rsid w:val="00192A75"/>
    <w:rsid w:val="0019613F"/>
    <w:rsid w:val="00196C21"/>
    <w:rsid w:val="001A7B1D"/>
    <w:rsid w:val="001B4C4E"/>
    <w:rsid w:val="001B6343"/>
    <w:rsid w:val="001C7B51"/>
    <w:rsid w:val="001D4046"/>
    <w:rsid w:val="001E016E"/>
    <w:rsid w:val="001E4E1A"/>
    <w:rsid w:val="001E4F76"/>
    <w:rsid w:val="001E7A1B"/>
    <w:rsid w:val="001F48D7"/>
    <w:rsid w:val="001F57E1"/>
    <w:rsid w:val="0020681D"/>
    <w:rsid w:val="002149DD"/>
    <w:rsid w:val="0022232C"/>
    <w:rsid w:val="0022586A"/>
    <w:rsid w:val="00226D28"/>
    <w:rsid w:val="00227D49"/>
    <w:rsid w:val="00230179"/>
    <w:rsid w:val="0023022E"/>
    <w:rsid w:val="0023036C"/>
    <w:rsid w:val="00230401"/>
    <w:rsid w:val="0023047E"/>
    <w:rsid w:val="00242099"/>
    <w:rsid w:val="0024495D"/>
    <w:rsid w:val="00266236"/>
    <w:rsid w:val="0027257F"/>
    <w:rsid w:val="0027552C"/>
    <w:rsid w:val="002802F2"/>
    <w:rsid w:val="002872CB"/>
    <w:rsid w:val="0029294F"/>
    <w:rsid w:val="00294B43"/>
    <w:rsid w:val="00297F26"/>
    <w:rsid w:val="002A0531"/>
    <w:rsid w:val="002A62EC"/>
    <w:rsid w:val="002B7E17"/>
    <w:rsid w:val="002C30F0"/>
    <w:rsid w:val="002C43F4"/>
    <w:rsid w:val="002C4E3B"/>
    <w:rsid w:val="002C53B8"/>
    <w:rsid w:val="002D05F0"/>
    <w:rsid w:val="002E1DA9"/>
    <w:rsid w:val="002E56CE"/>
    <w:rsid w:val="002E7158"/>
    <w:rsid w:val="002E716D"/>
    <w:rsid w:val="002F5919"/>
    <w:rsid w:val="002F7229"/>
    <w:rsid w:val="00300515"/>
    <w:rsid w:val="003040A8"/>
    <w:rsid w:val="00310DAB"/>
    <w:rsid w:val="0032427A"/>
    <w:rsid w:val="003255D8"/>
    <w:rsid w:val="00342BF6"/>
    <w:rsid w:val="003530AD"/>
    <w:rsid w:val="00356FE3"/>
    <w:rsid w:val="00364B00"/>
    <w:rsid w:val="00365AD1"/>
    <w:rsid w:val="00366D52"/>
    <w:rsid w:val="003678BE"/>
    <w:rsid w:val="0037626C"/>
    <w:rsid w:val="00376BAB"/>
    <w:rsid w:val="00377EDA"/>
    <w:rsid w:val="0038032F"/>
    <w:rsid w:val="003864D1"/>
    <w:rsid w:val="00393D86"/>
    <w:rsid w:val="00394692"/>
    <w:rsid w:val="00395BA7"/>
    <w:rsid w:val="003A34C5"/>
    <w:rsid w:val="003B6944"/>
    <w:rsid w:val="003B7C98"/>
    <w:rsid w:val="003C2C59"/>
    <w:rsid w:val="003F22AF"/>
    <w:rsid w:val="003F3E3A"/>
    <w:rsid w:val="003F7725"/>
    <w:rsid w:val="00402405"/>
    <w:rsid w:val="0040302B"/>
    <w:rsid w:val="00405322"/>
    <w:rsid w:val="00420575"/>
    <w:rsid w:val="00421E07"/>
    <w:rsid w:val="00423CB8"/>
    <w:rsid w:val="00423E78"/>
    <w:rsid w:val="00425291"/>
    <w:rsid w:val="00445D4D"/>
    <w:rsid w:val="00447981"/>
    <w:rsid w:val="00450B36"/>
    <w:rsid w:val="004519EB"/>
    <w:rsid w:val="004526FE"/>
    <w:rsid w:val="00460735"/>
    <w:rsid w:val="004619F6"/>
    <w:rsid w:val="004666CB"/>
    <w:rsid w:val="00467F35"/>
    <w:rsid w:val="004700F9"/>
    <w:rsid w:val="00487031"/>
    <w:rsid w:val="00495BC6"/>
    <w:rsid w:val="004966BA"/>
    <w:rsid w:val="00497576"/>
    <w:rsid w:val="004A1D50"/>
    <w:rsid w:val="004A6875"/>
    <w:rsid w:val="004B5900"/>
    <w:rsid w:val="004B761A"/>
    <w:rsid w:val="004C5391"/>
    <w:rsid w:val="004E2E5B"/>
    <w:rsid w:val="004E5E3E"/>
    <w:rsid w:val="004F0D84"/>
    <w:rsid w:val="004F74C1"/>
    <w:rsid w:val="0050417C"/>
    <w:rsid w:val="00507D40"/>
    <w:rsid w:val="005101DC"/>
    <w:rsid w:val="00510A1A"/>
    <w:rsid w:val="00521E9E"/>
    <w:rsid w:val="00525691"/>
    <w:rsid w:val="00543935"/>
    <w:rsid w:val="00552A2A"/>
    <w:rsid w:val="00563EFB"/>
    <w:rsid w:val="005663A0"/>
    <w:rsid w:val="0057151E"/>
    <w:rsid w:val="00575FAE"/>
    <w:rsid w:val="00584CC8"/>
    <w:rsid w:val="0059509D"/>
    <w:rsid w:val="00595A0D"/>
    <w:rsid w:val="005970FA"/>
    <w:rsid w:val="005A0A16"/>
    <w:rsid w:val="005C0E92"/>
    <w:rsid w:val="005C1536"/>
    <w:rsid w:val="005C4930"/>
    <w:rsid w:val="005C5FF0"/>
    <w:rsid w:val="005D38F7"/>
    <w:rsid w:val="005D6650"/>
    <w:rsid w:val="005F425F"/>
    <w:rsid w:val="005F727B"/>
    <w:rsid w:val="005F7D73"/>
    <w:rsid w:val="00600078"/>
    <w:rsid w:val="0060665F"/>
    <w:rsid w:val="00610A44"/>
    <w:rsid w:val="006112AB"/>
    <w:rsid w:val="006128DD"/>
    <w:rsid w:val="00636E5F"/>
    <w:rsid w:val="006413AC"/>
    <w:rsid w:val="00645F42"/>
    <w:rsid w:val="00646737"/>
    <w:rsid w:val="00647DA4"/>
    <w:rsid w:val="006520AF"/>
    <w:rsid w:val="0066111D"/>
    <w:rsid w:val="00661D6A"/>
    <w:rsid w:val="00672110"/>
    <w:rsid w:val="006732F8"/>
    <w:rsid w:val="006734D0"/>
    <w:rsid w:val="00680645"/>
    <w:rsid w:val="006815A6"/>
    <w:rsid w:val="00683006"/>
    <w:rsid w:val="00691B68"/>
    <w:rsid w:val="006A07DF"/>
    <w:rsid w:val="006B1350"/>
    <w:rsid w:val="006C1938"/>
    <w:rsid w:val="006C5237"/>
    <w:rsid w:val="006C7402"/>
    <w:rsid w:val="006F19E1"/>
    <w:rsid w:val="006F35F3"/>
    <w:rsid w:val="007036B1"/>
    <w:rsid w:val="007118F2"/>
    <w:rsid w:val="00717E3E"/>
    <w:rsid w:val="00730944"/>
    <w:rsid w:val="00744238"/>
    <w:rsid w:val="00744296"/>
    <w:rsid w:val="00745C4B"/>
    <w:rsid w:val="00747598"/>
    <w:rsid w:val="00760DDF"/>
    <w:rsid w:val="00772A6B"/>
    <w:rsid w:val="0077341C"/>
    <w:rsid w:val="00773A12"/>
    <w:rsid w:val="0077501A"/>
    <w:rsid w:val="00783421"/>
    <w:rsid w:val="007857E4"/>
    <w:rsid w:val="00785D4A"/>
    <w:rsid w:val="00791B1E"/>
    <w:rsid w:val="007958CB"/>
    <w:rsid w:val="007A09BB"/>
    <w:rsid w:val="007A22EA"/>
    <w:rsid w:val="007A4B96"/>
    <w:rsid w:val="007B33EF"/>
    <w:rsid w:val="007B6326"/>
    <w:rsid w:val="007C2F8B"/>
    <w:rsid w:val="007C3DA4"/>
    <w:rsid w:val="007E0B49"/>
    <w:rsid w:val="007E0CB0"/>
    <w:rsid w:val="007E2394"/>
    <w:rsid w:val="007F1C12"/>
    <w:rsid w:val="007F34F4"/>
    <w:rsid w:val="007F4EE8"/>
    <w:rsid w:val="008005F2"/>
    <w:rsid w:val="00800FF7"/>
    <w:rsid w:val="00806740"/>
    <w:rsid w:val="00806E48"/>
    <w:rsid w:val="00816892"/>
    <w:rsid w:val="008206FB"/>
    <w:rsid w:val="00823D61"/>
    <w:rsid w:val="00830B3E"/>
    <w:rsid w:val="0083237C"/>
    <w:rsid w:val="008340FD"/>
    <w:rsid w:val="00847053"/>
    <w:rsid w:val="008557E6"/>
    <w:rsid w:val="0086693C"/>
    <w:rsid w:val="00867CF6"/>
    <w:rsid w:val="008732E1"/>
    <w:rsid w:val="0088387D"/>
    <w:rsid w:val="008A59E5"/>
    <w:rsid w:val="008A782F"/>
    <w:rsid w:val="008C48F5"/>
    <w:rsid w:val="008D3395"/>
    <w:rsid w:val="008D3DBD"/>
    <w:rsid w:val="008D5E93"/>
    <w:rsid w:val="008E047D"/>
    <w:rsid w:val="008E348A"/>
    <w:rsid w:val="008F09A0"/>
    <w:rsid w:val="008F68F1"/>
    <w:rsid w:val="008F7D4C"/>
    <w:rsid w:val="0091192F"/>
    <w:rsid w:val="00913A60"/>
    <w:rsid w:val="0091564D"/>
    <w:rsid w:val="0092125A"/>
    <w:rsid w:val="009216F3"/>
    <w:rsid w:val="00926BAB"/>
    <w:rsid w:val="009315E1"/>
    <w:rsid w:val="00943CC2"/>
    <w:rsid w:val="00947A55"/>
    <w:rsid w:val="009569D4"/>
    <w:rsid w:val="009602B0"/>
    <w:rsid w:val="00961ED0"/>
    <w:rsid w:val="00965A77"/>
    <w:rsid w:val="00966336"/>
    <w:rsid w:val="009701C1"/>
    <w:rsid w:val="00976B37"/>
    <w:rsid w:val="00990316"/>
    <w:rsid w:val="0099729B"/>
    <w:rsid w:val="009A7926"/>
    <w:rsid w:val="009B0942"/>
    <w:rsid w:val="009D4D8F"/>
    <w:rsid w:val="009E1B23"/>
    <w:rsid w:val="009E2B1D"/>
    <w:rsid w:val="009E54E4"/>
    <w:rsid w:val="009E5B68"/>
    <w:rsid w:val="009F3E3E"/>
    <w:rsid w:val="00A016AC"/>
    <w:rsid w:val="00A1365C"/>
    <w:rsid w:val="00A14D80"/>
    <w:rsid w:val="00A53816"/>
    <w:rsid w:val="00A54555"/>
    <w:rsid w:val="00A63F69"/>
    <w:rsid w:val="00A6403D"/>
    <w:rsid w:val="00A65F79"/>
    <w:rsid w:val="00A84F81"/>
    <w:rsid w:val="00A86B4B"/>
    <w:rsid w:val="00A97B23"/>
    <w:rsid w:val="00AA2C07"/>
    <w:rsid w:val="00AA2F8F"/>
    <w:rsid w:val="00AB6300"/>
    <w:rsid w:val="00AC0825"/>
    <w:rsid w:val="00AC736C"/>
    <w:rsid w:val="00AD1DA6"/>
    <w:rsid w:val="00AD2F66"/>
    <w:rsid w:val="00AE1003"/>
    <w:rsid w:val="00AE20CA"/>
    <w:rsid w:val="00AE3909"/>
    <w:rsid w:val="00AE48D2"/>
    <w:rsid w:val="00AE5F46"/>
    <w:rsid w:val="00AF05FC"/>
    <w:rsid w:val="00AF1912"/>
    <w:rsid w:val="00AF2D8A"/>
    <w:rsid w:val="00AF4196"/>
    <w:rsid w:val="00B01E2D"/>
    <w:rsid w:val="00B05042"/>
    <w:rsid w:val="00B126F2"/>
    <w:rsid w:val="00B13B7D"/>
    <w:rsid w:val="00B173B2"/>
    <w:rsid w:val="00B27913"/>
    <w:rsid w:val="00B34CBB"/>
    <w:rsid w:val="00B428B7"/>
    <w:rsid w:val="00B470C5"/>
    <w:rsid w:val="00B66E73"/>
    <w:rsid w:val="00B759A5"/>
    <w:rsid w:val="00B841B7"/>
    <w:rsid w:val="00B8755C"/>
    <w:rsid w:val="00B93EF7"/>
    <w:rsid w:val="00B95E98"/>
    <w:rsid w:val="00BA0412"/>
    <w:rsid w:val="00BA1214"/>
    <w:rsid w:val="00BA279C"/>
    <w:rsid w:val="00BA4D3A"/>
    <w:rsid w:val="00BA6ECA"/>
    <w:rsid w:val="00BA7B45"/>
    <w:rsid w:val="00BB51EA"/>
    <w:rsid w:val="00BC4353"/>
    <w:rsid w:val="00BC6965"/>
    <w:rsid w:val="00BD0BA2"/>
    <w:rsid w:val="00BD1530"/>
    <w:rsid w:val="00BD3ADD"/>
    <w:rsid w:val="00BE56D4"/>
    <w:rsid w:val="00BF3007"/>
    <w:rsid w:val="00C11125"/>
    <w:rsid w:val="00C11B10"/>
    <w:rsid w:val="00C11C7A"/>
    <w:rsid w:val="00C26B57"/>
    <w:rsid w:val="00C35ECE"/>
    <w:rsid w:val="00C37AB5"/>
    <w:rsid w:val="00C46CE0"/>
    <w:rsid w:val="00C54853"/>
    <w:rsid w:val="00C60FFE"/>
    <w:rsid w:val="00C616B7"/>
    <w:rsid w:val="00C63C89"/>
    <w:rsid w:val="00C648CD"/>
    <w:rsid w:val="00C67F59"/>
    <w:rsid w:val="00C70ED0"/>
    <w:rsid w:val="00C75A16"/>
    <w:rsid w:val="00C861D6"/>
    <w:rsid w:val="00C9581F"/>
    <w:rsid w:val="00C9656D"/>
    <w:rsid w:val="00C97BAD"/>
    <w:rsid w:val="00CB115D"/>
    <w:rsid w:val="00CB1D3E"/>
    <w:rsid w:val="00CB7F08"/>
    <w:rsid w:val="00CC0256"/>
    <w:rsid w:val="00CD133A"/>
    <w:rsid w:val="00CD6434"/>
    <w:rsid w:val="00CF1623"/>
    <w:rsid w:val="00CF1731"/>
    <w:rsid w:val="00CF2B77"/>
    <w:rsid w:val="00D00FE5"/>
    <w:rsid w:val="00D0165F"/>
    <w:rsid w:val="00D11479"/>
    <w:rsid w:val="00D16A14"/>
    <w:rsid w:val="00D216CE"/>
    <w:rsid w:val="00D246EA"/>
    <w:rsid w:val="00D26EB1"/>
    <w:rsid w:val="00D31EF7"/>
    <w:rsid w:val="00D5473D"/>
    <w:rsid w:val="00D5599F"/>
    <w:rsid w:val="00D63E85"/>
    <w:rsid w:val="00D64CF1"/>
    <w:rsid w:val="00D859C6"/>
    <w:rsid w:val="00D85BB5"/>
    <w:rsid w:val="00D94D2B"/>
    <w:rsid w:val="00D95411"/>
    <w:rsid w:val="00DA3D7E"/>
    <w:rsid w:val="00DB088A"/>
    <w:rsid w:val="00DB3FFF"/>
    <w:rsid w:val="00DB46FD"/>
    <w:rsid w:val="00DC4ED2"/>
    <w:rsid w:val="00DD49B0"/>
    <w:rsid w:val="00DD6B4B"/>
    <w:rsid w:val="00DD78CD"/>
    <w:rsid w:val="00DE083E"/>
    <w:rsid w:val="00DE0978"/>
    <w:rsid w:val="00DE55A5"/>
    <w:rsid w:val="00DE7DC3"/>
    <w:rsid w:val="00E07725"/>
    <w:rsid w:val="00E10DD3"/>
    <w:rsid w:val="00E116D2"/>
    <w:rsid w:val="00E17C02"/>
    <w:rsid w:val="00E324E9"/>
    <w:rsid w:val="00E3506F"/>
    <w:rsid w:val="00E35765"/>
    <w:rsid w:val="00E40C1B"/>
    <w:rsid w:val="00E4235D"/>
    <w:rsid w:val="00E76908"/>
    <w:rsid w:val="00E94BCB"/>
    <w:rsid w:val="00E94DD6"/>
    <w:rsid w:val="00E95B99"/>
    <w:rsid w:val="00EA154A"/>
    <w:rsid w:val="00EA3B20"/>
    <w:rsid w:val="00EC164F"/>
    <w:rsid w:val="00EC1B85"/>
    <w:rsid w:val="00EC3862"/>
    <w:rsid w:val="00EC69B1"/>
    <w:rsid w:val="00EE470F"/>
    <w:rsid w:val="00EF56D3"/>
    <w:rsid w:val="00F02275"/>
    <w:rsid w:val="00F033B9"/>
    <w:rsid w:val="00F054CF"/>
    <w:rsid w:val="00F11C0B"/>
    <w:rsid w:val="00F13631"/>
    <w:rsid w:val="00F16F7E"/>
    <w:rsid w:val="00F219F3"/>
    <w:rsid w:val="00F2424A"/>
    <w:rsid w:val="00F2443A"/>
    <w:rsid w:val="00F269E4"/>
    <w:rsid w:val="00F27BC1"/>
    <w:rsid w:val="00F27E51"/>
    <w:rsid w:val="00F34150"/>
    <w:rsid w:val="00F34F9B"/>
    <w:rsid w:val="00F409A7"/>
    <w:rsid w:val="00F45FD4"/>
    <w:rsid w:val="00F50597"/>
    <w:rsid w:val="00F5130B"/>
    <w:rsid w:val="00F52DDC"/>
    <w:rsid w:val="00F55A77"/>
    <w:rsid w:val="00F60047"/>
    <w:rsid w:val="00F64D84"/>
    <w:rsid w:val="00F71C8E"/>
    <w:rsid w:val="00F8174E"/>
    <w:rsid w:val="00F83DB3"/>
    <w:rsid w:val="00F8651C"/>
    <w:rsid w:val="00F90E14"/>
    <w:rsid w:val="00F93960"/>
    <w:rsid w:val="00FA1BD8"/>
    <w:rsid w:val="00FB3297"/>
    <w:rsid w:val="00FB339E"/>
    <w:rsid w:val="00FB41E5"/>
    <w:rsid w:val="00FB4CDB"/>
    <w:rsid w:val="00FC6335"/>
    <w:rsid w:val="00FC7555"/>
    <w:rsid w:val="00FD40CD"/>
    <w:rsid w:val="00FD5FF9"/>
    <w:rsid w:val="00FE1E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0597"/>
    <w:rPr>
      <w:rFonts w:ascii="Times New Roman" w:eastAsia="Times New Roman" w:hAnsi="Times New Roman"/>
      <w:sz w:val="24"/>
      <w:szCs w:val="24"/>
    </w:rPr>
  </w:style>
  <w:style w:type="paragraph" w:styleId="Heading2">
    <w:name w:val="heading 2"/>
    <w:aliases w:val="h2,h21,Заголовок пункта (1.1),5,Reset numbering,222"/>
    <w:basedOn w:val="Normal"/>
    <w:next w:val="Heading3"/>
    <w:link w:val="Heading2Char"/>
    <w:uiPriority w:val="99"/>
    <w:qFormat/>
    <w:rsid w:val="00D5473D"/>
    <w:pPr>
      <w:keepNext/>
      <w:numPr>
        <w:ilvl w:val="1"/>
        <w:numId w:val="22"/>
      </w:numPr>
      <w:spacing w:before="240" w:after="120" w:line="360" w:lineRule="auto"/>
      <w:jc w:val="center"/>
      <w:outlineLvl w:val="1"/>
    </w:pPr>
    <w:rPr>
      <w:rFonts w:ascii="Garamond" w:hAnsi="Garamond"/>
      <w:b/>
      <w:sz w:val="22"/>
      <w:szCs w:val="20"/>
      <w:lang w:eastAsia="en-US"/>
    </w:rPr>
  </w:style>
  <w:style w:type="paragraph" w:styleId="Heading3">
    <w:name w:val="heading 3"/>
    <w:aliases w:val="Заголовок подпукта (1.1.1),H3,Level 1 - 1,o"/>
    <w:basedOn w:val="Normal"/>
    <w:link w:val="Heading3Char"/>
    <w:uiPriority w:val="99"/>
    <w:qFormat/>
    <w:rsid w:val="00D5473D"/>
    <w:pPr>
      <w:numPr>
        <w:ilvl w:val="2"/>
        <w:numId w:val="22"/>
      </w:numPr>
      <w:spacing w:before="120" w:after="120" w:line="360" w:lineRule="auto"/>
      <w:jc w:val="both"/>
      <w:outlineLvl w:val="2"/>
    </w:pPr>
    <w:rPr>
      <w:b/>
      <w:sz w:val="22"/>
      <w:szCs w:val="20"/>
      <w:lang w:eastAsia="en-US"/>
    </w:rPr>
  </w:style>
  <w:style w:type="paragraph" w:styleId="Heading4">
    <w:name w:val="heading 4"/>
    <w:aliases w:val="H41,Sub-Minor,Level 2 - a,H4"/>
    <w:basedOn w:val="Normal"/>
    <w:link w:val="Heading4Char"/>
    <w:uiPriority w:val="99"/>
    <w:qFormat/>
    <w:rsid w:val="00D5473D"/>
    <w:pPr>
      <w:numPr>
        <w:ilvl w:val="3"/>
        <w:numId w:val="22"/>
      </w:numPr>
      <w:spacing w:before="120" w:after="120" w:line="360" w:lineRule="auto"/>
      <w:jc w:val="both"/>
      <w:outlineLvl w:val="3"/>
    </w:pPr>
    <w:rPr>
      <w:sz w:val="22"/>
      <w:szCs w:val="20"/>
      <w:lang w:eastAsia="en-US"/>
    </w:rPr>
  </w:style>
  <w:style w:type="paragraph" w:styleId="Heading5">
    <w:name w:val="heading 5"/>
    <w:aliases w:val="h5,h51,H5,H51,h52,test,Block Label,Level 3 - i"/>
    <w:basedOn w:val="Normal"/>
    <w:link w:val="Heading5Char"/>
    <w:uiPriority w:val="99"/>
    <w:qFormat/>
    <w:rsid w:val="00D5473D"/>
    <w:pPr>
      <w:numPr>
        <w:ilvl w:val="4"/>
        <w:numId w:val="22"/>
      </w:numPr>
      <w:spacing w:before="120" w:after="120" w:line="360" w:lineRule="auto"/>
      <w:jc w:val="both"/>
      <w:outlineLvl w:val="4"/>
    </w:pPr>
    <w:rPr>
      <w:sz w:val="22"/>
      <w:szCs w:val="20"/>
      <w:lang w:eastAsia="en-US"/>
    </w:rPr>
  </w:style>
  <w:style w:type="paragraph" w:styleId="Heading6">
    <w:name w:val="heading 6"/>
    <w:aliases w:val="Legal Level 1."/>
    <w:basedOn w:val="Normal"/>
    <w:next w:val="Heading5"/>
    <w:link w:val="Heading6Char"/>
    <w:uiPriority w:val="99"/>
    <w:qFormat/>
    <w:rsid w:val="00D5473D"/>
    <w:pPr>
      <w:numPr>
        <w:ilvl w:val="5"/>
        <w:numId w:val="22"/>
      </w:numPr>
      <w:spacing w:before="120" w:after="120" w:line="360" w:lineRule="auto"/>
      <w:jc w:val="both"/>
      <w:outlineLvl w:val="5"/>
    </w:pPr>
    <w:rPr>
      <w:sz w:val="22"/>
      <w:szCs w:val="20"/>
      <w:lang w:eastAsia="en-US"/>
    </w:rPr>
  </w:style>
  <w:style w:type="paragraph" w:styleId="Heading7">
    <w:name w:val="heading 7"/>
    <w:aliases w:val="Appendix Header,Legal Level 1.1."/>
    <w:basedOn w:val="Normal"/>
    <w:next w:val="Normal"/>
    <w:link w:val="Heading7Char"/>
    <w:uiPriority w:val="99"/>
    <w:qFormat/>
    <w:rsid w:val="00D5473D"/>
    <w:pPr>
      <w:numPr>
        <w:ilvl w:val="6"/>
        <w:numId w:val="22"/>
      </w:numPr>
      <w:spacing w:after="240" w:line="360" w:lineRule="auto"/>
      <w:outlineLvl w:val="6"/>
    </w:pPr>
    <w:rPr>
      <w:rFonts w:ascii="Garamond" w:hAnsi="Garamond"/>
      <w:sz w:val="22"/>
      <w:szCs w:val="20"/>
      <w:lang w:eastAsia="en-US"/>
    </w:rPr>
  </w:style>
  <w:style w:type="paragraph" w:styleId="Heading8">
    <w:name w:val="heading 8"/>
    <w:aliases w:val="Legal Level 1.1.1."/>
    <w:basedOn w:val="Normal"/>
    <w:next w:val="Normal"/>
    <w:link w:val="Heading8Char"/>
    <w:uiPriority w:val="99"/>
    <w:qFormat/>
    <w:rsid w:val="00D5473D"/>
    <w:pPr>
      <w:numPr>
        <w:ilvl w:val="7"/>
        <w:numId w:val="22"/>
      </w:numPr>
      <w:spacing w:before="240" w:line="360" w:lineRule="auto"/>
      <w:outlineLvl w:val="7"/>
    </w:pPr>
    <w:rPr>
      <w:rFonts w:ascii="Arial" w:hAnsi="Arial"/>
      <w:i/>
      <w:sz w:val="20"/>
      <w:szCs w:val="20"/>
      <w:lang w:eastAsia="en-US"/>
    </w:rPr>
  </w:style>
  <w:style w:type="paragraph" w:styleId="Heading9">
    <w:name w:val="heading 9"/>
    <w:aliases w:val="Legal Level 1.1.1.1."/>
    <w:basedOn w:val="Normal"/>
    <w:next w:val="Normal"/>
    <w:link w:val="Heading9Char"/>
    <w:uiPriority w:val="99"/>
    <w:qFormat/>
    <w:rsid w:val="00D5473D"/>
    <w:pPr>
      <w:numPr>
        <w:ilvl w:val="8"/>
        <w:numId w:val="22"/>
      </w:numPr>
      <w:spacing w:before="240" w:line="360" w:lineRule="auto"/>
      <w:outlineLvl w:val="8"/>
    </w:pPr>
    <w:rPr>
      <w:rFonts w:ascii="Arial" w:hAnsi="Arial"/>
      <w:i/>
      <w:sz w:val="18"/>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Заголовок пункта (1.1) Char,5 Char,Reset numbering Char,222 Char"/>
    <w:basedOn w:val="DefaultParagraphFont"/>
    <w:link w:val="Heading2"/>
    <w:uiPriority w:val="99"/>
    <w:locked/>
    <w:rsid w:val="00D5473D"/>
    <w:rPr>
      <w:rFonts w:ascii="Garamond" w:hAnsi="Garamond" w:cs="Times New Roman"/>
      <w:b/>
      <w:sz w:val="22"/>
      <w:lang w:eastAsia="en-US"/>
    </w:rPr>
  </w:style>
  <w:style w:type="character" w:customStyle="1" w:styleId="Heading3Char">
    <w:name w:val="Heading 3 Char"/>
    <w:aliases w:val="Заголовок подпукта (1.1.1) Char,H3 Char,Level 1 - 1 Char,o Char"/>
    <w:basedOn w:val="DefaultParagraphFont"/>
    <w:link w:val="Heading3"/>
    <w:uiPriority w:val="99"/>
    <w:locked/>
    <w:rsid w:val="00D5473D"/>
    <w:rPr>
      <w:rFonts w:ascii="Times New Roman" w:hAnsi="Times New Roman" w:cs="Times New Roman"/>
      <w:b/>
      <w:sz w:val="22"/>
      <w:lang w:eastAsia="en-US"/>
    </w:rPr>
  </w:style>
  <w:style w:type="character" w:customStyle="1" w:styleId="Heading4Char">
    <w:name w:val="Heading 4 Char"/>
    <w:aliases w:val="H41 Char,Sub-Minor Char,Level 2 - a Char,H4 Char"/>
    <w:basedOn w:val="DefaultParagraphFont"/>
    <w:link w:val="Heading4"/>
    <w:uiPriority w:val="99"/>
    <w:locked/>
    <w:rsid w:val="00D5473D"/>
    <w:rPr>
      <w:rFonts w:ascii="Times New Roman" w:hAnsi="Times New Roman" w:cs="Times New Roman"/>
      <w:sz w:val="22"/>
      <w:lang w:eastAsia="en-US"/>
    </w:rPr>
  </w:style>
  <w:style w:type="character" w:customStyle="1" w:styleId="Heading5Char">
    <w:name w:val="Heading 5 Char"/>
    <w:aliases w:val="h5 Char,h51 Char,H5 Char,H51 Char,h52 Char,test Char,Block Label Char,Level 3 - i Char"/>
    <w:basedOn w:val="DefaultParagraphFont"/>
    <w:link w:val="Heading5"/>
    <w:uiPriority w:val="99"/>
    <w:locked/>
    <w:rsid w:val="00D5473D"/>
    <w:rPr>
      <w:rFonts w:ascii="Times New Roman" w:hAnsi="Times New Roman" w:cs="Times New Roman"/>
      <w:sz w:val="22"/>
      <w:lang w:eastAsia="en-US"/>
    </w:rPr>
  </w:style>
  <w:style w:type="character" w:customStyle="1" w:styleId="Heading6Char">
    <w:name w:val="Heading 6 Char"/>
    <w:aliases w:val="Legal Level 1. Char"/>
    <w:basedOn w:val="DefaultParagraphFont"/>
    <w:link w:val="Heading6"/>
    <w:uiPriority w:val="99"/>
    <w:locked/>
    <w:rsid w:val="00D5473D"/>
    <w:rPr>
      <w:rFonts w:ascii="Times New Roman" w:hAnsi="Times New Roman" w:cs="Times New Roman"/>
      <w:sz w:val="22"/>
      <w:lang w:eastAsia="en-US"/>
    </w:rPr>
  </w:style>
  <w:style w:type="character" w:customStyle="1" w:styleId="Heading7Char">
    <w:name w:val="Heading 7 Char"/>
    <w:aliases w:val="Appendix Header Char,Legal Level 1.1. Char"/>
    <w:basedOn w:val="DefaultParagraphFont"/>
    <w:link w:val="Heading7"/>
    <w:uiPriority w:val="99"/>
    <w:locked/>
    <w:rsid w:val="00D5473D"/>
    <w:rPr>
      <w:rFonts w:ascii="Garamond" w:hAnsi="Garamond" w:cs="Times New Roman"/>
      <w:sz w:val="22"/>
      <w:lang w:eastAsia="en-US"/>
    </w:rPr>
  </w:style>
  <w:style w:type="character" w:customStyle="1" w:styleId="Heading8Char">
    <w:name w:val="Heading 8 Char"/>
    <w:aliases w:val="Legal Level 1.1.1. Char"/>
    <w:basedOn w:val="DefaultParagraphFont"/>
    <w:link w:val="Heading8"/>
    <w:uiPriority w:val="99"/>
    <w:locked/>
    <w:rsid w:val="00D5473D"/>
    <w:rPr>
      <w:rFonts w:ascii="Arial" w:hAnsi="Arial" w:cs="Times New Roman"/>
      <w:i/>
      <w:lang w:eastAsia="en-US"/>
    </w:rPr>
  </w:style>
  <w:style w:type="character" w:customStyle="1" w:styleId="Heading9Char">
    <w:name w:val="Heading 9 Char"/>
    <w:aliases w:val="Legal Level 1.1.1.1. Char"/>
    <w:basedOn w:val="DefaultParagraphFont"/>
    <w:link w:val="Heading9"/>
    <w:uiPriority w:val="99"/>
    <w:locked/>
    <w:rsid w:val="00D5473D"/>
    <w:rPr>
      <w:rFonts w:ascii="Arial" w:hAnsi="Arial" w:cs="Times New Roman"/>
      <w:i/>
      <w:sz w:val="18"/>
      <w:lang w:eastAsia="en-US"/>
    </w:rPr>
  </w:style>
  <w:style w:type="paragraph" w:styleId="Header">
    <w:name w:val="header"/>
    <w:basedOn w:val="Normal"/>
    <w:link w:val="HeaderChar"/>
    <w:uiPriority w:val="99"/>
    <w:rsid w:val="00F50597"/>
    <w:pPr>
      <w:tabs>
        <w:tab w:val="center" w:pos="4677"/>
        <w:tab w:val="right" w:pos="9355"/>
      </w:tabs>
    </w:pPr>
  </w:style>
  <w:style w:type="character" w:customStyle="1" w:styleId="HeaderChar">
    <w:name w:val="Header Char"/>
    <w:basedOn w:val="DefaultParagraphFont"/>
    <w:link w:val="Header"/>
    <w:uiPriority w:val="99"/>
    <w:locked/>
    <w:rsid w:val="00F50597"/>
    <w:rPr>
      <w:rFonts w:ascii="Times New Roman" w:hAnsi="Times New Roman" w:cs="Times New Roman"/>
      <w:sz w:val="24"/>
      <w:szCs w:val="24"/>
      <w:lang w:eastAsia="ru-RU"/>
    </w:rPr>
  </w:style>
  <w:style w:type="character" w:styleId="Hyperlink">
    <w:name w:val="Hyperlink"/>
    <w:basedOn w:val="DefaultParagraphFont"/>
    <w:uiPriority w:val="99"/>
    <w:rsid w:val="00F50597"/>
    <w:rPr>
      <w:rFonts w:cs="Times New Roman"/>
      <w:color w:val="0000FF"/>
      <w:u w:val="single"/>
    </w:rPr>
  </w:style>
  <w:style w:type="paragraph" w:styleId="BalloonText">
    <w:name w:val="Balloon Text"/>
    <w:basedOn w:val="Normal"/>
    <w:link w:val="BalloonTextChar"/>
    <w:uiPriority w:val="99"/>
    <w:semiHidden/>
    <w:rsid w:val="00F5059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0597"/>
    <w:rPr>
      <w:rFonts w:ascii="Tahoma" w:hAnsi="Tahoma" w:cs="Tahoma"/>
      <w:sz w:val="16"/>
      <w:szCs w:val="16"/>
      <w:lang w:eastAsia="ru-RU"/>
    </w:rPr>
  </w:style>
  <w:style w:type="paragraph" w:customStyle="1" w:styleId="1">
    <w:name w:val="Обычный1"/>
    <w:uiPriority w:val="99"/>
    <w:rsid w:val="00E116D2"/>
    <w:pPr>
      <w:widowControl w:val="0"/>
      <w:ind w:firstLine="720"/>
    </w:pPr>
    <w:rPr>
      <w:rFonts w:ascii="Times New Roman" w:eastAsia="Times New Roman" w:hAnsi="Times New Roman"/>
      <w:sz w:val="20"/>
      <w:szCs w:val="20"/>
    </w:rPr>
  </w:style>
  <w:style w:type="paragraph" w:customStyle="1" w:styleId="Nonformat">
    <w:name w:val="Nonformat"/>
    <w:basedOn w:val="1"/>
    <w:uiPriority w:val="99"/>
    <w:rsid w:val="00E116D2"/>
    <w:pPr>
      <w:ind w:firstLine="0"/>
    </w:pPr>
    <w:rPr>
      <w:rFonts w:ascii="Consultant" w:hAnsi="Consultant"/>
    </w:rPr>
  </w:style>
  <w:style w:type="paragraph" w:styleId="PlainText">
    <w:name w:val="Plain Text"/>
    <w:basedOn w:val="Normal"/>
    <w:link w:val="PlainTextChar"/>
    <w:uiPriority w:val="99"/>
    <w:rsid w:val="00E116D2"/>
    <w:rPr>
      <w:rFonts w:ascii="Courier New" w:hAnsi="Courier New"/>
      <w:sz w:val="20"/>
      <w:szCs w:val="20"/>
    </w:rPr>
  </w:style>
  <w:style w:type="character" w:customStyle="1" w:styleId="PlainTextChar">
    <w:name w:val="Plain Text Char"/>
    <w:basedOn w:val="DefaultParagraphFont"/>
    <w:link w:val="PlainText"/>
    <w:uiPriority w:val="99"/>
    <w:locked/>
    <w:rsid w:val="00E116D2"/>
    <w:rPr>
      <w:rFonts w:ascii="Courier New" w:hAnsi="Courier New" w:cs="Times New Roman"/>
    </w:rPr>
  </w:style>
  <w:style w:type="paragraph" w:styleId="ListParagraph">
    <w:name w:val="List Paragraph"/>
    <w:basedOn w:val="Normal"/>
    <w:uiPriority w:val="99"/>
    <w:qFormat/>
    <w:rsid w:val="0029294F"/>
    <w:pPr>
      <w:ind w:left="720"/>
      <w:contextualSpacing/>
    </w:pPr>
  </w:style>
  <w:style w:type="paragraph" w:styleId="NoSpacing">
    <w:name w:val="No Spacing"/>
    <w:uiPriority w:val="99"/>
    <w:qFormat/>
    <w:rsid w:val="0059509D"/>
    <w:rPr>
      <w:lang w:eastAsia="en-US"/>
    </w:rPr>
  </w:style>
  <w:style w:type="paragraph" w:styleId="BodyText">
    <w:name w:val="Body Text"/>
    <w:aliases w:val="body text"/>
    <w:basedOn w:val="Normal"/>
    <w:link w:val="BodyTextChar"/>
    <w:uiPriority w:val="99"/>
    <w:rsid w:val="00F45FD4"/>
    <w:pPr>
      <w:overflowPunct w:val="0"/>
      <w:autoSpaceDE w:val="0"/>
      <w:autoSpaceDN w:val="0"/>
      <w:adjustRightInd w:val="0"/>
      <w:jc w:val="both"/>
      <w:textAlignment w:val="baseline"/>
    </w:pPr>
    <w:rPr>
      <w:szCs w:val="20"/>
    </w:rPr>
  </w:style>
  <w:style w:type="character" w:customStyle="1" w:styleId="BodyTextChar">
    <w:name w:val="Body Text Char"/>
    <w:aliases w:val="body text Char"/>
    <w:basedOn w:val="DefaultParagraphFont"/>
    <w:link w:val="BodyText"/>
    <w:uiPriority w:val="99"/>
    <w:locked/>
    <w:rsid w:val="00F45FD4"/>
    <w:rPr>
      <w:rFonts w:ascii="Times New Roman" w:hAnsi="Times New Roman" w:cs="Times New Roman"/>
      <w:sz w:val="24"/>
    </w:rPr>
  </w:style>
  <w:style w:type="character" w:styleId="CommentReference">
    <w:name w:val="annotation reference"/>
    <w:basedOn w:val="DefaultParagraphFont"/>
    <w:uiPriority w:val="99"/>
    <w:semiHidden/>
    <w:rsid w:val="00405322"/>
    <w:rPr>
      <w:rFonts w:cs="Times New Roman"/>
      <w:sz w:val="16"/>
      <w:szCs w:val="16"/>
    </w:rPr>
  </w:style>
  <w:style w:type="paragraph" w:styleId="CommentText">
    <w:name w:val="annotation text"/>
    <w:basedOn w:val="Normal"/>
    <w:link w:val="CommentTextChar"/>
    <w:uiPriority w:val="99"/>
    <w:semiHidden/>
    <w:rsid w:val="00405322"/>
    <w:rPr>
      <w:sz w:val="20"/>
      <w:szCs w:val="20"/>
    </w:rPr>
  </w:style>
  <w:style w:type="character" w:customStyle="1" w:styleId="CommentTextChar">
    <w:name w:val="Comment Text Char"/>
    <w:basedOn w:val="DefaultParagraphFont"/>
    <w:link w:val="CommentText"/>
    <w:uiPriority w:val="99"/>
    <w:semiHidden/>
    <w:locked/>
    <w:rsid w:val="00405322"/>
    <w:rPr>
      <w:rFonts w:ascii="Times New Roman" w:hAnsi="Times New Roman" w:cs="Times New Roman"/>
    </w:rPr>
  </w:style>
  <w:style w:type="paragraph" w:styleId="Caption">
    <w:name w:val="caption"/>
    <w:basedOn w:val="Normal"/>
    <w:next w:val="Normal"/>
    <w:uiPriority w:val="99"/>
    <w:qFormat/>
    <w:rsid w:val="00405322"/>
    <w:pPr>
      <w:spacing w:after="200"/>
    </w:pPr>
    <w:rPr>
      <w:b/>
      <w:bCs/>
      <w:color w:val="4F81BD"/>
      <w:sz w:val="18"/>
      <w:szCs w:val="18"/>
    </w:rPr>
  </w:style>
  <w:style w:type="paragraph" w:styleId="CommentSubject">
    <w:name w:val="annotation subject"/>
    <w:basedOn w:val="CommentText"/>
    <w:next w:val="CommentText"/>
    <w:link w:val="CommentSubjectChar"/>
    <w:uiPriority w:val="99"/>
    <w:semiHidden/>
    <w:rsid w:val="00647DA4"/>
    <w:rPr>
      <w:b/>
      <w:bCs/>
    </w:rPr>
  </w:style>
  <w:style w:type="character" w:customStyle="1" w:styleId="CommentSubjectChar">
    <w:name w:val="Comment Subject Char"/>
    <w:basedOn w:val="CommentTextChar"/>
    <w:link w:val="CommentSubject"/>
    <w:uiPriority w:val="99"/>
    <w:semiHidden/>
    <w:locked/>
    <w:rsid w:val="00647DA4"/>
    <w:rPr>
      <w:b/>
      <w:bCs/>
    </w:rPr>
  </w:style>
  <w:style w:type="paragraph" w:customStyle="1" w:styleId="ConsPlusNormal">
    <w:name w:val="ConsPlusNormal"/>
    <w:uiPriority w:val="99"/>
    <w:rsid w:val="002F7229"/>
    <w:pPr>
      <w:autoSpaceDE w:val="0"/>
      <w:autoSpaceDN w:val="0"/>
      <w:adjustRightInd w:val="0"/>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3.bin"/><Relationship Id="rId10" Type="http://schemas.openxmlformats.org/officeDocument/2006/relationships/oleObject" Target="embeddings/oleObject3.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KUSH~1\LOCALS~1\Temp\notes959385\~95654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~9565470</Template>
  <TotalTime>5</TotalTime>
  <Pages>3</Pages>
  <Words>1445</Words>
  <Characters>8239</Characters>
  <Application>Microsoft Office Outlook</Application>
  <DocSecurity>0</DocSecurity>
  <Lines>0</Lines>
  <Paragraphs>0</Paragraphs>
  <ScaleCrop>false</ScaleCrop>
  <Company>Quadra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делопроизводству в исполнительном аппарате ОАО «Квадра»</dc:title>
  <dc:subject/>
  <dc:creator>user</dc:creator>
  <cp:keywords/>
  <dc:description/>
  <cp:lastModifiedBy>pii</cp:lastModifiedBy>
  <cp:revision>6</cp:revision>
  <cp:lastPrinted>2018-09-07T10:42:00Z</cp:lastPrinted>
  <dcterms:created xsi:type="dcterms:W3CDTF">2018-09-05T06:14:00Z</dcterms:created>
  <dcterms:modified xsi:type="dcterms:W3CDTF">2018-09-07T10:42:00Z</dcterms:modified>
</cp:coreProperties>
</file>